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389C83B8" w:rsidR="00A40107" w:rsidRDefault="005A2627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مبادئ ادارة</w:t>
            </w:r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كود</w:t>
            </w:r>
            <w:r w:rsidR="00E87F21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المقرر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6BF4130E" w:rsidR="00651AA1" w:rsidRDefault="005A2627" w:rsidP="005A2627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5A262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WBM-21-01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691D01C6" w:rsidR="00651AA1" w:rsidRDefault="00C4040B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الاول 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3F923D19" w:rsidR="00651AA1" w:rsidRDefault="00651AA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651AA1"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05F0BB1D" w:rsidR="00651AA1" w:rsidRDefault="005A2627" w:rsidP="005A262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5A2627">
              <w:rPr>
                <w:rFonts w:ascii="Cambria" w:eastAsia="Cambria" w:hAnsi="Cambria"/>
                <w:color w:val="000000"/>
                <w:sz w:val="28"/>
                <w:szCs w:val="28"/>
                <w:rtl/>
                <w:lang w:bidi="ar-IQ"/>
              </w:rPr>
              <w:t>15 ساعة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00F02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نظري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1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7BFB21E8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م.م </w:t>
            </w:r>
            <w:r w:rsidR="005A2627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فارس كريم حليوت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</w:t>
            </w:r>
          </w:p>
          <w:p w14:paraId="1E221828" w14:textId="457795E1" w:rsidR="00651AA1" w:rsidRPr="00E87F21" w:rsidRDefault="00651AA1" w:rsidP="00A00F02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الايميل:</w:t>
            </w:r>
            <w:r w:rsidR="00A00F02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hyperlink r:id="rId8" w:history="1">
              <w:r w:rsidR="005A2627" w:rsidRPr="00BC4E0F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Faris.kar@uowa.edu.iq</w:t>
              </w:r>
            </w:hyperlink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المادة الدراسية: </w:t>
            </w:r>
          </w:p>
        </w:tc>
        <w:tc>
          <w:tcPr>
            <w:tcW w:w="5165" w:type="dxa"/>
            <w:gridSpan w:val="3"/>
          </w:tcPr>
          <w:p w14:paraId="13BABE11" w14:textId="77777777" w:rsidR="005A2627" w:rsidRPr="005A2627" w:rsidRDefault="00A00F02" w:rsidP="005A2627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A00F02">
              <w:rPr>
                <w:rFonts w:ascii="Simplified Arabic" w:eastAsia="Simplified Arabic" w:hAnsi="Simplified Arabic" w:cs="Simplified Arabic"/>
                <w:rtl/>
              </w:rPr>
              <w:t xml:space="preserve">• </w:t>
            </w:r>
            <w:r w:rsidR="005A2627" w:rsidRPr="005A2627">
              <w:rPr>
                <w:rFonts w:ascii="Simplified Arabic" w:eastAsia="Simplified Arabic" w:hAnsi="Simplified Arabic" w:cs="Simplified Arabic" w:hint="cs"/>
                <w:rtl/>
                <w:lang w:bidi="ar-IQ"/>
              </w:rPr>
              <w:t>الهدف من مبادئ الإدارة هو شرح أساسيات فنون وعلوم الإدارة لجعل الطالب إداريًا ناجحًا في مجال الهندسة الطبية الحيوية وقياديا بارعا في مضمار تخصصه وعمله الوظيفي.</w:t>
            </w:r>
          </w:p>
          <w:p w14:paraId="18DF5FD2" w14:textId="7E1A481F" w:rsidR="00651AA1" w:rsidRPr="005A2627" w:rsidRDefault="00651AA1" w:rsidP="00A00F02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409C1BBE" w14:textId="77777777" w:rsidR="00651AA1" w:rsidRDefault="005A2627" w:rsidP="005A2627">
            <w:pPr>
              <w:autoSpaceDE w:val="0"/>
              <w:autoSpaceDN w:val="0"/>
              <w:adjustRightInd w:val="0"/>
              <w:ind w:leftChars="0" w:left="0" w:firstLineChars="0" w:hanging="2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1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5A262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جعل الطالب قادر على اظهار المعرفة الحقيقية للمفاهيم الادارية خلال السلم الدراسية وتطبيقاتها في مجالات هندسة الطب الحياتي.</w:t>
            </w:r>
          </w:p>
          <w:p w14:paraId="0A10552F" w14:textId="77777777" w:rsidR="005A2627" w:rsidRDefault="005A2627" w:rsidP="005A2627">
            <w:pPr>
              <w:autoSpaceDE w:val="0"/>
              <w:autoSpaceDN w:val="0"/>
              <w:adjustRightInd w:val="0"/>
              <w:ind w:leftChars="0" w:left="0" w:firstLineChars="0" w:hanging="2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2.</w:t>
            </w:r>
            <w:r w:rsidRPr="005A262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تعلم وفهم التعاريف الأساسية المستخدمة في الإدارة العامة مثل التنظيم والتنسيق والقيادة.</w:t>
            </w:r>
          </w:p>
          <w:p w14:paraId="6F81539A" w14:textId="77777777" w:rsidR="005A2627" w:rsidRDefault="005A2627" w:rsidP="005A2627">
            <w:pPr>
              <w:autoSpaceDE w:val="0"/>
              <w:autoSpaceDN w:val="0"/>
              <w:adjustRightInd w:val="0"/>
              <w:ind w:leftChars="0" w:left="0" w:firstLineChars="0" w:hanging="2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3.</w:t>
            </w:r>
            <w:r w:rsidRPr="005A262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- تعلم وفهم دور الأساليب التنظيمية والسلوكيات الإدارية الحاكمة لعمل المهندس في الوسط الوظيفي وسوق العمل.</w:t>
            </w:r>
          </w:p>
          <w:p w14:paraId="7A292A2C" w14:textId="2E364368" w:rsidR="005A2627" w:rsidRPr="00212A56" w:rsidRDefault="005A2627" w:rsidP="005A2627">
            <w:pPr>
              <w:autoSpaceDE w:val="0"/>
              <w:autoSpaceDN w:val="0"/>
              <w:adjustRightInd w:val="0"/>
              <w:ind w:leftChars="0" w:left="0" w:firstLineChars="0" w:hanging="2"/>
              <w:jc w:val="both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4.</w:t>
            </w:r>
            <w:r w:rsidRPr="005A262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الالمام بقوانين الإدارة العامة التي تمثل عدة قوانين وسلوكيات خاصة وعامة للفرد وللمجتمع.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بنية المقرر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43"/>
        <w:gridCol w:w="1695"/>
        <w:gridCol w:w="1633"/>
        <w:gridCol w:w="3462"/>
        <w:gridCol w:w="1134"/>
        <w:gridCol w:w="1026"/>
      </w:tblGrid>
      <w:tr w:rsidR="00D202F3" w:rsidRPr="000674C0" w14:paraId="1596B45E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4C09B304" w14:textId="6654EBE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1+</w:t>
            </w:r>
            <w:r w:rsidR="00612A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72" w:type="pct"/>
            <w:vAlign w:val="center"/>
          </w:tcPr>
          <w:p w14:paraId="2B25830F" w14:textId="69DFCF3D" w:rsidR="00E615EC" w:rsidRPr="000674C0" w:rsidRDefault="005A2627" w:rsidP="00D202F3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3C78AA2A" w14:textId="77777777" w:rsidR="00612AB7" w:rsidRPr="00612AB7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 w:cstheme="majorBidi"/>
                <w:color w:val="000000"/>
                <w:lang w:bidi="ar-IQ"/>
              </w:rPr>
              <w:t>Introduction</w:t>
            </w:r>
          </w:p>
          <w:p w14:paraId="5921B1C9" w14:textId="7C24CEAB" w:rsidR="00E615EC" w:rsidRPr="00E123E3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 w:cstheme="majorBidi"/>
                <w:color w:val="000000"/>
                <w:lang w:bidi="ar-IQ"/>
              </w:rPr>
              <w:t>The planning, Definition of Planning, Objectives of Planning, Types of Planning, Elements of planning</w:t>
            </w:r>
            <w:r w:rsidRPr="00612AB7">
              <w:rPr>
                <w:rFonts w:asciiTheme="majorBidi" w:hAnsiTheme="majorBidi" w:cstheme="majorBidi"/>
                <w:color w:val="000000"/>
                <w:rtl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1BF703FD" w14:textId="77777777" w:rsidR="00612AB7" w:rsidRPr="00612AB7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Introduction</w:t>
            </w:r>
          </w:p>
          <w:p w14:paraId="7CAE55F7" w14:textId="6E60BD73" w:rsidR="00E615EC" w:rsidRPr="000674C0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planning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</w:tcPr>
          <w:p w14:paraId="4724DECA" w14:textId="1733479D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6C83C12C" w14:textId="3929E825" w:rsidR="00E615EC" w:rsidRPr="000674C0" w:rsidRDefault="00E615EC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11D2649" w14:textId="77777777" w:rsidTr="00D202F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1922588" w14:textId="022FB1DA" w:rsidR="00E615EC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3+4</w:t>
            </w:r>
          </w:p>
        </w:tc>
        <w:tc>
          <w:tcPr>
            <w:tcW w:w="872" w:type="pct"/>
            <w:vAlign w:val="center"/>
          </w:tcPr>
          <w:p w14:paraId="6EB6B2C3" w14:textId="04309454" w:rsidR="00E615EC" w:rsidRPr="000674C0" w:rsidRDefault="005A2627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5F2504EF" w14:textId="77777777" w:rsidR="00612AB7" w:rsidRPr="00612AB7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Organization</w:t>
            </w:r>
            <w:r w:rsidRPr="00612AB7"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, مفهوم التنظيم, أهداف التنظيم, </w:t>
            </w:r>
            <w:r w:rsidRPr="00612AB7">
              <w:rPr>
                <w:rFonts w:asciiTheme="majorBidi" w:hAnsiTheme="majorBidi"/>
                <w:color w:val="000000"/>
                <w:lang w:bidi="ar-IQ"/>
              </w:rPr>
              <w:t>organization types, Principles of Organization, Effective Organization, Organization Chart, Organization Manual</w:t>
            </w:r>
            <w:r w:rsidRPr="00612AB7">
              <w:rPr>
                <w:rFonts w:asciiTheme="majorBidi" w:hAnsiTheme="majorBidi" w:hint="cs"/>
                <w:color w:val="000000"/>
                <w:rtl/>
                <w:lang w:bidi="ar-IQ"/>
              </w:rPr>
              <w:t>.</w:t>
            </w:r>
          </w:p>
          <w:p w14:paraId="71F4D34E" w14:textId="2A3B3884" w:rsidR="00E615EC" w:rsidRPr="00E123E3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The coordination, The scope of coordination, Obstacles of Coordination, Effective Coordination.  </w:t>
            </w:r>
          </w:p>
        </w:tc>
        <w:tc>
          <w:tcPr>
            <w:tcW w:w="1765" w:type="pct"/>
            <w:vAlign w:val="center"/>
          </w:tcPr>
          <w:p w14:paraId="08363917" w14:textId="77777777" w:rsidR="00612AB7" w:rsidRPr="00612AB7" w:rsidRDefault="00612AB7" w:rsidP="00612AB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Organization</w:t>
            </w:r>
          </w:p>
          <w:p w14:paraId="2338ED0A" w14:textId="77777777" w:rsidR="00612AB7" w:rsidRPr="00612AB7" w:rsidRDefault="00612AB7" w:rsidP="00612AB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and</w:t>
            </w:r>
          </w:p>
          <w:p w14:paraId="585B49E6" w14:textId="59EA6FA0" w:rsidR="00E615EC" w:rsidRPr="000674C0" w:rsidRDefault="00612AB7" w:rsidP="00612AB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coordination</w:t>
            </w:r>
            <w:r w:rsidR="00402535" w:rsidRPr="00402535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EC09AD9" w:rsidR="00E615EC" w:rsidRPr="000674C0" w:rsidRDefault="00402535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4116C1FF" w14:textId="5ACA63C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3A1D8D2A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76527F68" w14:textId="26CFCB7C" w:rsidR="00E615EC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5+6+7</w:t>
            </w:r>
          </w:p>
        </w:tc>
        <w:tc>
          <w:tcPr>
            <w:tcW w:w="872" w:type="pct"/>
            <w:vAlign w:val="center"/>
          </w:tcPr>
          <w:p w14:paraId="55EE9E29" w14:textId="49E540D2" w:rsidR="00E615EC" w:rsidRPr="000674C0" w:rsidRDefault="005A2627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5D96B15A" w14:textId="77777777" w:rsidR="00612AB7" w:rsidRPr="00612AB7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The control, The Concept of Control, benefits of control, Steps of Control, Types of Control, Effective Control</w:t>
            </w:r>
            <w:r w:rsidRPr="00612AB7">
              <w:rPr>
                <w:rFonts w:asciiTheme="majorBidi" w:hAnsiTheme="majorBidi" w:hint="cs"/>
                <w:color w:val="000000"/>
                <w:rtl/>
                <w:lang w:bidi="ar-IQ"/>
              </w:rPr>
              <w:t>.</w:t>
            </w:r>
          </w:p>
          <w:p w14:paraId="791EBF8E" w14:textId="77777777" w:rsidR="00612AB7" w:rsidRPr="00612AB7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The decision, Decision Making, Decision Making and Management, Types of Decision, Steps of Decision Making, Group Decision Making, Decision Making and Computers</w:t>
            </w:r>
            <w:r w:rsidRPr="00612AB7">
              <w:rPr>
                <w:rFonts w:asciiTheme="majorBidi" w:hAnsiTheme="majorBidi" w:hint="cs"/>
                <w:color w:val="000000"/>
                <w:rtl/>
                <w:lang w:bidi="ar-IQ"/>
              </w:rPr>
              <w:t xml:space="preserve">.  </w:t>
            </w:r>
          </w:p>
          <w:p w14:paraId="3E365B98" w14:textId="2BA7A013" w:rsidR="00E615EC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The leadership, Management Leadership, Definition of Leadership, </w:t>
            </w:r>
            <w:r w:rsidRPr="00612AB7">
              <w:rPr>
                <w:rFonts w:asciiTheme="majorBidi" w:hAnsiTheme="majorBidi"/>
                <w:color w:val="000000"/>
                <w:lang w:bidi="ar-IQ"/>
              </w:rPr>
              <w:lastRenderedPageBreak/>
              <w:t>Source of Leadership’s Power, Theories of Leadership</w:t>
            </w:r>
            <w:r w:rsidRPr="00612AB7">
              <w:rPr>
                <w:rFonts w:asciiTheme="majorBidi" w:hAnsiTheme="majorBidi"/>
                <w:color w:val="000000"/>
                <w:rtl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363C6CF4" w14:textId="77777777" w:rsidR="00612AB7" w:rsidRPr="00612AB7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lastRenderedPageBreak/>
              <w:t>The control</w:t>
            </w:r>
          </w:p>
          <w:p w14:paraId="472CA129" w14:textId="77777777" w:rsidR="00612AB7" w:rsidRPr="00612AB7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decision</w:t>
            </w:r>
          </w:p>
          <w:p w14:paraId="4664A1BF" w14:textId="162F8E8B" w:rsidR="00E615EC" w:rsidRPr="000674C0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leadership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692C89DA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5085DA89" w14:textId="72421D4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685601D" w14:textId="77777777" w:rsidTr="00D202F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1ABD6478" w14:textId="0D21FC2F" w:rsidR="00E615EC" w:rsidRPr="000674C0" w:rsidRDefault="00612AB7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72" w:type="pct"/>
            <w:vAlign w:val="center"/>
          </w:tcPr>
          <w:p w14:paraId="6EC40BC2" w14:textId="708C7411" w:rsidR="00E615EC" w:rsidRPr="000674C0" w:rsidRDefault="005A2627" w:rsidP="00402535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1</w:t>
            </w:r>
            <w:r w:rsidR="00402535">
              <w:rPr>
                <w:rFonts w:ascii="Cambria" w:hAnsi="Cambria" w:hint="cs"/>
                <w:color w:val="000000"/>
                <w:rtl/>
                <w:lang w:bidi="ar-IQ"/>
              </w:rPr>
              <w:t xml:space="preserve">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2040C35" w14:textId="3F712251" w:rsidR="00E615EC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The motivation, Motivation and Incentives, Definition of Motivation, Types of Motivation, Theories of Motivation</w:t>
            </w:r>
            <w:r w:rsidRPr="00612AB7">
              <w:rPr>
                <w:rFonts w:asciiTheme="majorBidi" w:hAnsiTheme="majorBidi"/>
                <w:color w:val="000000"/>
                <w:rtl/>
                <w:lang w:bidi="ar-IQ"/>
              </w:rPr>
              <w:t xml:space="preserve"> نظريات </w:t>
            </w:r>
            <w:r w:rsidRPr="00612AB7">
              <w:rPr>
                <w:rFonts w:asciiTheme="majorBidi" w:hAnsiTheme="majorBidi"/>
                <w:color w:val="000000"/>
                <w:lang w:bidi="ar-IQ"/>
              </w:rPr>
              <w:t>X, Y, Z</w:t>
            </w:r>
            <w:r w:rsidRPr="00612AB7">
              <w:rPr>
                <w:rFonts w:asciiTheme="majorBidi" w:hAnsiTheme="majorBidi"/>
                <w:color w:val="000000"/>
                <w:rtl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20553B7A" w14:textId="09F78A59" w:rsidR="00E615EC" w:rsidRPr="000674C0" w:rsidRDefault="00612AB7" w:rsidP="00E615EC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motivation</w:t>
            </w:r>
            <w:r w:rsidR="00402535" w:rsidRPr="00402535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00D7724B" w14:textId="125DDB96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644858D9" w14:textId="79F175D7" w:rsidR="00E615EC" w:rsidRPr="000674C0" w:rsidRDefault="00402535" w:rsidP="00E615EC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2F09A1AA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05C51154" w14:textId="4C64BC10" w:rsidR="00E83518" w:rsidRPr="000674C0" w:rsidRDefault="00612AB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72" w:type="pct"/>
            <w:vAlign w:val="center"/>
          </w:tcPr>
          <w:p w14:paraId="7436805B" w14:textId="562D1C55" w:rsidR="00E83518" w:rsidRPr="000674C0" w:rsidRDefault="005A2627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69E70FC7" w14:textId="65382139" w:rsidR="00E83518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The communication, Management Communications, Definition Of Communication, The Importance Of Communication, Elements Of Communication, Types Of Communication, Communication channels  </w:t>
            </w:r>
            <w:proofErr w:type="gramStart"/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  ,</w:t>
            </w:r>
            <w:proofErr w:type="gramEnd"/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  Obstacles Of communication  </w:t>
            </w:r>
          </w:p>
        </w:tc>
        <w:tc>
          <w:tcPr>
            <w:tcW w:w="1765" w:type="pct"/>
            <w:vAlign w:val="center"/>
          </w:tcPr>
          <w:p w14:paraId="605534B6" w14:textId="776247FC" w:rsidR="00E83518" w:rsidRPr="000674C0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FD407C7" w14:textId="1378E19A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المحاضرات مقدمة بصيغة</w:t>
            </w:r>
            <w:r w:rsidRPr="00E615E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443B3915" w14:textId="1083AEC5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1011576D" w14:textId="77777777" w:rsidTr="00D202F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1F8BB1BB" w14:textId="772BC39E" w:rsidR="00E83518" w:rsidRPr="000674C0" w:rsidRDefault="00E83518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12A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872" w:type="pct"/>
            <w:vAlign w:val="center"/>
          </w:tcPr>
          <w:p w14:paraId="4D2E0489" w14:textId="1C69EC06" w:rsidR="00E83518" w:rsidRPr="000674C0" w:rsidRDefault="005A2627" w:rsidP="00D202F3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970DF0C" w14:textId="20EA7302" w:rsidR="00E83518" w:rsidRPr="004D1120" w:rsidRDefault="00612AB7" w:rsidP="00612AB7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Financial management, Financial Management Definition, The Concept of Financial Management, Objectives of Financial Management, Financial Decisions, Financial Planning, Financial Control</w:t>
            </w:r>
          </w:p>
        </w:tc>
        <w:tc>
          <w:tcPr>
            <w:tcW w:w="1765" w:type="pct"/>
            <w:vAlign w:val="center"/>
          </w:tcPr>
          <w:p w14:paraId="7A29C30C" w14:textId="3D775DFE" w:rsidR="00E83518" w:rsidRPr="000674C0" w:rsidRDefault="00612AB7" w:rsidP="00612AB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Financial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2F2C8E95" w14:textId="3A2D95F1" w:rsidR="00E83518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5B66C145" w14:textId="0E4679BB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5B2FD28A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04539E88" w14:textId="7EB4280F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12A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72" w:type="pct"/>
            <w:vAlign w:val="center"/>
          </w:tcPr>
          <w:p w14:paraId="16F58826" w14:textId="0DCD9631" w:rsidR="00E83518" w:rsidRPr="000674C0" w:rsidRDefault="005A2627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6474CAE1" w14:textId="037AD353" w:rsidR="00E83518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 xml:space="preserve">Management Information System, Information System Concept, The Importance of IS, Computer &amp; I.S, The Status of M.I.S, </w:t>
            </w:r>
            <w:r w:rsidRPr="00612AB7">
              <w:rPr>
                <w:rFonts w:asciiTheme="majorBidi" w:hAnsiTheme="majorBidi"/>
                <w:color w:val="000000"/>
                <w:rtl/>
                <w:lang w:bidi="ar-IQ"/>
              </w:rPr>
              <w:t xml:space="preserve">أنظمة </w:t>
            </w:r>
            <w:r w:rsidRPr="00612AB7">
              <w:rPr>
                <w:rFonts w:asciiTheme="majorBidi" w:hAnsiTheme="majorBidi"/>
                <w:color w:val="000000"/>
                <w:rtl/>
                <w:lang w:bidi="ar-IQ"/>
              </w:rPr>
              <w:lastRenderedPageBreak/>
              <w:t>تبادل المعلومات الإدارية</w:t>
            </w:r>
            <w:r w:rsidRPr="00612AB7">
              <w:rPr>
                <w:rFonts w:asciiTheme="majorBidi" w:hAnsiTheme="majorBidi"/>
                <w:color w:val="000000"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6F9818F7" w14:textId="6F9BC98E" w:rsidR="00E83518" w:rsidRPr="004C586A" w:rsidRDefault="00612AB7" w:rsidP="00612AB7">
            <w:pPr>
              <w:ind w:left="1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612AB7">
              <w:rPr>
                <w:sz w:val="28"/>
                <w:szCs w:val="28"/>
              </w:rPr>
              <w:lastRenderedPageBreak/>
              <w:t>Management Information System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902A5E8" w14:textId="15E7BB24" w:rsidR="00E83518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35A37798" w14:textId="7708E0E8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4B81F246" w14:textId="77777777" w:rsidTr="00D202F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4ACED8B" w14:textId="41D37335" w:rsidR="00E83518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12A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72" w:type="pct"/>
            <w:vAlign w:val="center"/>
          </w:tcPr>
          <w:p w14:paraId="0921DF8A" w14:textId="7612B8F7" w:rsidR="00E83518" w:rsidRPr="000674C0" w:rsidRDefault="005A2627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73897624" w14:textId="341CAC0A" w:rsidR="00E83518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 w:cstheme="majorBidi"/>
                <w:color w:val="000000"/>
                <w:lang w:bidi="ar-IQ"/>
              </w:rPr>
              <w:t>The Marketing, Marketing Management, Marketing Concept, The Development of Marketing, Product, Price, Place, Marketing Research</w:t>
            </w:r>
            <w:r w:rsidRPr="00612AB7">
              <w:rPr>
                <w:rFonts w:asciiTheme="majorBidi" w:hAnsiTheme="majorBidi" w:cstheme="majorBidi"/>
                <w:color w:val="000000"/>
                <w:rtl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7B862814" w14:textId="660B999D" w:rsidR="004C586A" w:rsidRPr="000674C0" w:rsidRDefault="00612AB7" w:rsidP="00612AB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sz w:val="18"/>
                <w:szCs w:val="18"/>
              </w:rPr>
              <w:t>The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4BC81C5" w14:textId="2629553F" w:rsidR="00E83518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2ECB622C" w14:textId="0DCA64EE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D202F3" w:rsidRPr="000674C0" w14:paraId="65E2CBE1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53383B6C" w14:textId="21C8DC14" w:rsidR="00E83518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12AB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72" w:type="pct"/>
            <w:vAlign w:val="center"/>
          </w:tcPr>
          <w:p w14:paraId="2F4C8FD4" w14:textId="3D2E7212" w:rsidR="00E83518" w:rsidRPr="000674C0" w:rsidRDefault="00612AB7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27367994" w14:textId="29FA1A41" w:rsidR="00E83518" w:rsidRPr="004D1120" w:rsidRDefault="00612AB7" w:rsidP="00612AB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 w:rsidRPr="00612AB7">
              <w:rPr>
                <w:rFonts w:asciiTheme="majorBidi" w:hAnsiTheme="majorBidi"/>
                <w:color w:val="000000"/>
                <w:lang w:bidi="ar-IQ"/>
              </w:rPr>
              <w:t>The Production, Production Management, Production Management Concept, The Importance of Production Management, Management the production Job, Quality control.</w:t>
            </w:r>
          </w:p>
        </w:tc>
        <w:tc>
          <w:tcPr>
            <w:tcW w:w="1765" w:type="pct"/>
            <w:vAlign w:val="center"/>
          </w:tcPr>
          <w:p w14:paraId="6FE2FA21" w14:textId="0D6E4AE9" w:rsidR="004C586A" w:rsidRPr="000674C0" w:rsidRDefault="00612AB7" w:rsidP="00612AB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612AB7">
              <w:rPr>
                <w:rFonts w:asciiTheme="majorBidi" w:hAnsiTheme="majorBidi"/>
                <w:sz w:val="24"/>
                <w:szCs w:val="24"/>
                <w:lang w:bidi="ar-SY"/>
              </w:rPr>
              <w:t>The 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1A2BC3F" w14:textId="712B7DB2" w:rsidR="00E83518" w:rsidRPr="000674C0" w:rsidRDefault="00612AB7" w:rsidP="00612AB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612AB7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612AB7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0B1CAB42" w14:textId="3A677829" w:rsidR="00E83518" w:rsidRPr="000674C0" w:rsidRDefault="004C586A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E615EC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26600E" w:rsidRPr="000674C0" w14:paraId="61AD274C" w14:textId="77777777" w:rsidTr="00D202F3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36ACE56E" w14:textId="2CC1498D" w:rsidR="0026600E" w:rsidRDefault="0026600E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72" w:type="pct"/>
            <w:vAlign w:val="center"/>
          </w:tcPr>
          <w:p w14:paraId="21EA7D96" w14:textId="0E2F841C" w:rsidR="0026600E" w:rsidRDefault="0026600E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3BE0A80D" w14:textId="19A91892" w:rsidR="0026600E" w:rsidRPr="00612AB7" w:rsidRDefault="0026600E" w:rsidP="002660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lang w:bidi="ar-IQ"/>
              </w:rPr>
              <w:t xml:space="preserve">Role of Biomedical engineer in hospital management, Biomedical department, Biomedical department role, </w:t>
            </w:r>
            <w:proofErr w:type="gramStart"/>
            <w:r w:rsidRPr="0026600E">
              <w:rPr>
                <w:rFonts w:asciiTheme="majorBidi" w:hAnsiTheme="majorBidi"/>
                <w:color w:val="000000"/>
                <w:lang w:bidi="ar-IQ"/>
              </w:rPr>
              <w:t>Function</w:t>
            </w:r>
            <w:proofErr w:type="gramEnd"/>
            <w:r w:rsidRPr="0026600E">
              <w:rPr>
                <w:rFonts w:asciiTheme="majorBidi" w:hAnsiTheme="majorBidi"/>
                <w:color w:val="000000"/>
                <w:lang w:bidi="ar-IQ"/>
              </w:rPr>
              <w:t xml:space="preserve"> and biomedical engineer service</w:t>
            </w:r>
          </w:p>
        </w:tc>
        <w:tc>
          <w:tcPr>
            <w:tcW w:w="1765" w:type="pct"/>
            <w:vAlign w:val="center"/>
          </w:tcPr>
          <w:p w14:paraId="349BDC48" w14:textId="6DAD6B7F" w:rsidR="0026600E" w:rsidRPr="00612AB7" w:rsidRDefault="0026600E" w:rsidP="0026600E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26600E">
              <w:rPr>
                <w:rFonts w:asciiTheme="majorBidi" w:hAnsiTheme="majorBidi"/>
                <w:sz w:val="24"/>
                <w:szCs w:val="24"/>
                <w:lang w:bidi="ar-SY"/>
              </w:rPr>
              <w:t>Role of Biomedical engineer in hospital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A5E7CAA" w14:textId="36C340C8" w:rsidR="0026600E" w:rsidRPr="00612AB7" w:rsidRDefault="0026600E" w:rsidP="002660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75E15CAC" w14:textId="1868216C" w:rsidR="0026600E" w:rsidRPr="00E615EC" w:rsidRDefault="0026600E" w:rsidP="002660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  <w:tr w:rsidR="0026600E" w:rsidRPr="000674C0" w14:paraId="5FC152F1" w14:textId="77777777" w:rsidTr="00D2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2944AC77" w14:textId="2C74B57D" w:rsidR="0026600E" w:rsidRDefault="0026600E" w:rsidP="00E83518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72" w:type="pct"/>
            <w:vAlign w:val="center"/>
          </w:tcPr>
          <w:p w14:paraId="4A9911F8" w14:textId="34A49F3C" w:rsidR="0026600E" w:rsidRDefault="0026600E" w:rsidP="004C586A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" w:type="pct"/>
            <w:vAlign w:val="center"/>
          </w:tcPr>
          <w:p w14:paraId="6D532E88" w14:textId="7ADA98EA" w:rsidR="0026600E" w:rsidRPr="00612AB7" w:rsidRDefault="0026600E" w:rsidP="0026600E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/>
                <w:color w:val="000000"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lang w:bidi="ar-IQ"/>
              </w:rPr>
              <w:t>Duties of biomedical Engineer in Hospitals, Maintenance, Proper Operation, Safety</w:t>
            </w:r>
            <w:r w:rsidRPr="0026600E">
              <w:rPr>
                <w:rFonts w:asciiTheme="majorBidi" w:hAnsiTheme="majorBidi"/>
                <w:color w:val="000000"/>
                <w:rtl/>
                <w:lang w:bidi="ar-IQ"/>
              </w:rPr>
              <w:t>.</w:t>
            </w:r>
          </w:p>
        </w:tc>
        <w:tc>
          <w:tcPr>
            <w:tcW w:w="1765" w:type="pct"/>
            <w:vAlign w:val="center"/>
          </w:tcPr>
          <w:p w14:paraId="2B2D16A3" w14:textId="4AD5E3ED" w:rsidR="0026600E" w:rsidRPr="00612AB7" w:rsidRDefault="0026600E" w:rsidP="0026600E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  <w:lang w:bidi="ar-SY"/>
              </w:rPr>
            </w:pPr>
            <w:r w:rsidRPr="0026600E">
              <w:rPr>
                <w:rFonts w:asciiTheme="majorBidi" w:hAnsiTheme="majorBidi"/>
                <w:sz w:val="24"/>
                <w:szCs w:val="24"/>
                <w:lang w:bidi="ar-SY"/>
              </w:rPr>
              <w:t>Duties of biomedical Engineer in Hospitals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BCA2F2C" w14:textId="64E3D48C" w:rsidR="0026600E" w:rsidRPr="00612AB7" w:rsidRDefault="0026600E" w:rsidP="002660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="Cambria" w:hAnsi="Cambria"/>
                <w:color w:val="000000"/>
                <w:rtl/>
                <w:lang w:bidi="ar-IQ"/>
              </w:rPr>
            </w:pPr>
            <w:r w:rsidRPr="0026600E">
              <w:rPr>
                <w:rFonts w:ascii="Cambria" w:hAnsi="Cambria"/>
                <w:color w:val="000000"/>
                <w:rtl/>
                <w:lang w:bidi="ar-IQ"/>
              </w:rPr>
              <w:t>المحاضرات مقدمة بصيغة</w:t>
            </w:r>
            <w:r w:rsidRPr="0026600E">
              <w:rPr>
                <w:rFonts w:ascii="Cambria" w:hAnsi="Cambria"/>
                <w:color w:val="000000"/>
                <w:lang w:bidi="ar-IQ"/>
              </w:rPr>
              <w:t xml:space="preserve"> PDF</w:t>
            </w:r>
          </w:p>
        </w:tc>
        <w:tc>
          <w:tcPr>
            <w:tcW w:w="533" w:type="pct"/>
            <w:vAlign w:val="center"/>
          </w:tcPr>
          <w:p w14:paraId="1680A186" w14:textId="786FEB8C" w:rsidR="0026600E" w:rsidRPr="00E615EC" w:rsidRDefault="0026600E" w:rsidP="0026600E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</w:pPr>
            <w:r w:rsidRPr="0026600E">
              <w:rPr>
                <w:rFonts w:asciiTheme="majorBidi" w:hAnsiTheme="majorBidi"/>
                <w:color w:val="000000"/>
                <w:sz w:val="24"/>
                <w:szCs w:val="24"/>
                <w:rtl/>
                <w:lang w:bidi="ar-IQ"/>
              </w:rPr>
              <w:t>اختبارات يومية + واجبات منزلية + اختبارات شهرية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34"/>
        <w:gridCol w:w="9822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1062DA">
        <w:tc>
          <w:tcPr>
            <w:tcW w:w="11456" w:type="dxa"/>
            <w:gridSpan w:val="2"/>
          </w:tcPr>
          <w:p w14:paraId="7CA70504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امتحانات يومية بأسئلة عملية وعلمية . </w:t>
            </w:r>
          </w:p>
          <w:p w14:paraId="2E786590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درجات مشاركة </w:t>
            </w:r>
            <w:r w:rsidRPr="00B406A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لأسئلة</w:t>
            </w: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المنافسة الصعبة بين الطلاب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BDD0992" w14:textId="77777777" w:rsid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وضع درجات للواجبات البيئية والتقارير المكلفة بهم.</w:t>
            </w:r>
          </w:p>
          <w:p w14:paraId="0832556D" w14:textId="4EEA1649" w:rsidR="00212A56" w:rsidRPr="001062DA" w:rsidRDefault="001062DA" w:rsidP="001062D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406A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امتحانات فصلية للمنهج الدراسي اضافة الى امتحان نصف السنة والامتحان النهائي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4133A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74133A" w:rsidRPr="00BB1D3D" w14:paraId="23AC7296" w14:textId="77777777" w:rsidTr="001062DA">
        <w:tc>
          <w:tcPr>
            <w:tcW w:w="1634" w:type="dxa"/>
          </w:tcPr>
          <w:p w14:paraId="3118A9F9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</w:tc>
        <w:tc>
          <w:tcPr>
            <w:tcW w:w="9822" w:type="dxa"/>
          </w:tcPr>
          <w:p w14:paraId="4C07D8A6" w14:textId="77777777" w:rsidR="00EA7A73" w:rsidRDefault="00EA7A73" w:rsidP="00EA7A7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EA7A73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7A73">
              <w:rPr>
                <w:color w:val="000000"/>
                <w:sz w:val="28"/>
                <w:szCs w:val="28"/>
                <w:rtl/>
                <w:lang w:bidi="ar-IQ"/>
              </w:rPr>
              <w:t xml:space="preserve">كتاب مفهوم الأدارة وتطورها </w:t>
            </w:r>
            <w:r w:rsidRPr="00EA7A73">
              <w:rPr>
                <w:color w:val="000000"/>
                <w:sz w:val="28"/>
                <w:szCs w:val="28"/>
                <w:lang w:bidi="ar-IQ"/>
              </w:rPr>
              <w:t>Management concept and development)</w:t>
            </w:r>
            <w:r w:rsidRPr="00EA7A73">
              <w:rPr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egoe UI Symbol" w:hAnsi="Segoe UI Symbol" w:cs="Segoe UI Symbol" w:hint="cs"/>
                <w:color w:val="000000"/>
                <w:sz w:val="28"/>
                <w:szCs w:val="28"/>
                <w:rtl/>
                <w:lang w:bidi="ar-IQ"/>
              </w:rPr>
              <w:t>)</w:t>
            </w:r>
            <w:r w:rsidRPr="00EA7A73">
              <w:rPr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441CE5E6" w14:textId="232E8DEF" w:rsidR="0074133A" w:rsidRPr="00EA7A73" w:rsidRDefault="00EA7A73" w:rsidP="00EA7A7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EA7A73">
              <w:rPr>
                <w:color w:val="000000"/>
                <w:sz w:val="28"/>
                <w:szCs w:val="28"/>
                <w:rtl/>
                <w:lang w:bidi="ar-IQ"/>
              </w:rPr>
              <w:t>احمد عبد الرحمن الشميري</w:t>
            </w:r>
          </w:p>
        </w:tc>
      </w:tr>
      <w:tr w:rsidR="0074133A" w:rsidRPr="00BB1D3D" w14:paraId="2D2FB340" w14:textId="77777777" w:rsidTr="001062DA">
        <w:tc>
          <w:tcPr>
            <w:tcW w:w="1634" w:type="dxa"/>
          </w:tcPr>
          <w:p w14:paraId="29B4A9A7" w14:textId="77777777" w:rsidR="0074133A" w:rsidRDefault="0074133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9822" w:type="dxa"/>
          </w:tcPr>
          <w:p w14:paraId="2F6E990B" w14:textId="77777777" w:rsidR="00421E6F" w:rsidRDefault="00421E6F" w:rsidP="00421E6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position w:val="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مكتبة الكلية للحصول على المصادر الاضافية للمناهج الدراسية.</w:t>
            </w:r>
          </w:p>
          <w:p w14:paraId="292FE34C" w14:textId="3CBE2AE2" w:rsidR="0074133A" w:rsidRPr="00421E6F" w:rsidRDefault="00421E6F" w:rsidP="00421E6F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421E6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الاطلاع على المواقع الالكترونية العلمية للاطلاع على المستجدات الحديثة في المادة</w:t>
            </w:r>
          </w:p>
        </w:tc>
      </w:tr>
      <w:tr w:rsidR="001062DA" w14:paraId="6719969A" w14:textId="77777777" w:rsidTr="00FB46BD">
        <w:tc>
          <w:tcPr>
            <w:tcW w:w="1634" w:type="dxa"/>
          </w:tcPr>
          <w:p w14:paraId="19FC7385" w14:textId="77777777" w:rsidR="001062DA" w:rsidRDefault="001062DA" w:rsidP="001062DA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9822" w:type="dxa"/>
            <w:vAlign w:val="center"/>
          </w:tcPr>
          <w:p w14:paraId="04E883EC" w14:textId="113508A9" w:rsidR="001062DA" w:rsidRDefault="00421E6F" w:rsidP="00421E6F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421E6F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جميع المجلات العلمية الرصينة التي لها علاقة بالمفهوم الواسع لمبادئ الادارة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3B6D" w14:textId="77777777" w:rsidR="00D273E9" w:rsidRDefault="00D273E9">
      <w:pPr>
        <w:spacing w:line="240" w:lineRule="auto"/>
        <w:ind w:left="0" w:hanging="2"/>
      </w:pPr>
      <w:r>
        <w:separator/>
      </w:r>
    </w:p>
  </w:endnote>
  <w:endnote w:type="continuationSeparator" w:id="0">
    <w:p w14:paraId="787A80E0" w14:textId="77777777" w:rsidR="00D273E9" w:rsidRDefault="00D273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876BC4C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31416B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5768" w14:textId="77777777" w:rsidR="00D273E9" w:rsidRDefault="00D273E9">
      <w:pPr>
        <w:spacing w:line="240" w:lineRule="auto"/>
        <w:ind w:left="0" w:hanging="2"/>
      </w:pPr>
      <w:r>
        <w:separator/>
      </w:r>
    </w:p>
  </w:footnote>
  <w:footnote w:type="continuationSeparator" w:id="0">
    <w:p w14:paraId="5500ED62" w14:textId="77777777" w:rsidR="00D273E9" w:rsidRDefault="00D273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4A2FAA"/>
    <w:multiLevelType w:val="hybridMultilevel"/>
    <w:tmpl w:val="5F909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61841730">
    <w:abstractNumId w:val="5"/>
  </w:num>
  <w:num w:numId="2" w16cid:durableId="760949690">
    <w:abstractNumId w:val="7"/>
  </w:num>
  <w:num w:numId="3" w16cid:durableId="1554973189">
    <w:abstractNumId w:val="4"/>
  </w:num>
  <w:num w:numId="4" w16cid:durableId="1321152405">
    <w:abstractNumId w:val="1"/>
  </w:num>
  <w:num w:numId="5" w16cid:durableId="2041664929">
    <w:abstractNumId w:val="2"/>
  </w:num>
  <w:num w:numId="6" w16cid:durableId="1145777520">
    <w:abstractNumId w:val="0"/>
  </w:num>
  <w:num w:numId="7" w16cid:durableId="886992455">
    <w:abstractNumId w:val="10"/>
  </w:num>
  <w:num w:numId="8" w16cid:durableId="1127771441">
    <w:abstractNumId w:val="3"/>
  </w:num>
  <w:num w:numId="9" w16cid:durableId="1811513062">
    <w:abstractNumId w:val="6"/>
  </w:num>
  <w:num w:numId="10" w16cid:durableId="1729500124">
    <w:abstractNumId w:val="8"/>
  </w:num>
  <w:num w:numId="11" w16cid:durableId="524948598">
    <w:abstractNumId w:val="9"/>
  </w:num>
  <w:num w:numId="12" w16cid:durableId="677776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0267DA"/>
    <w:rsid w:val="001062DA"/>
    <w:rsid w:val="00212A56"/>
    <w:rsid w:val="00213E09"/>
    <w:rsid w:val="0026600E"/>
    <w:rsid w:val="0031416B"/>
    <w:rsid w:val="003D4F3A"/>
    <w:rsid w:val="00402535"/>
    <w:rsid w:val="00421E6F"/>
    <w:rsid w:val="004C586A"/>
    <w:rsid w:val="005A2627"/>
    <w:rsid w:val="00612AB7"/>
    <w:rsid w:val="00651AA1"/>
    <w:rsid w:val="0074133A"/>
    <w:rsid w:val="00765852"/>
    <w:rsid w:val="007D1393"/>
    <w:rsid w:val="0083383E"/>
    <w:rsid w:val="00951F21"/>
    <w:rsid w:val="00985BAB"/>
    <w:rsid w:val="00A00F02"/>
    <w:rsid w:val="00A40107"/>
    <w:rsid w:val="00AD7D32"/>
    <w:rsid w:val="00BB1D3D"/>
    <w:rsid w:val="00C4040B"/>
    <w:rsid w:val="00D15819"/>
    <w:rsid w:val="00D202F3"/>
    <w:rsid w:val="00D273E9"/>
    <w:rsid w:val="00E615EC"/>
    <w:rsid w:val="00E83518"/>
    <w:rsid w:val="00E87F21"/>
    <w:rsid w:val="00E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is.kar@uowa.edu.i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Fares Alshemmry</cp:lastModifiedBy>
  <cp:revision>7</cp:revision>
  <dcterms:created xsi:type="dcterms:W3CDTF">2024-03-19T22:07:00Z</dcterms:created>
  <dcterms:modified xsi:type="dcterms:W3CDTF">2024-03-21T14:06:00Z</dcterms:modified>
</cp:coreProperties>
</file>