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6BFB21C8" w:rsidR="00A40107" w:rsidRDefault="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رياضيات 1</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35D5FCF2" w:rsidR="00651AA1" w:rsidRDefault="00651AA1" w:rsidP="00651AA1">
            <w:pPr>
              <w:ind w:left="1" w:right="-426" w:hanging="3"/>
              <w:jc w:val="both"/>
              <w:rPr>
                <w:rFonts w:ascii="Simplified Arabic" w:eastAsia="Simplified Arabic" w:hAnsi="Simplified Arabic" w:cs="Simplified Arabic"/>
                <w:sz w:val="28"/>
                <w:szCs w:val="28"/>
              </w:rPr>
            </w:pPr>
            <w:r w:rsidRPr="00284DFB">
              <w:rPr>
                <w:rFonts w:ascii="Arial" w:hAnsi="Arial" w:cs="Arial"/>
                <w:sz w:val="28"/>
                <w:szCs w:val="28"/>
                <w:shd w:val="clear" w:color="auto" w:fill="FFFFFF"/>
              </w:rPr>
              <w:t>WBM-11-04</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597372A9" w:rsidR="00651AA1" w:rsidRDefault="00651AA1" w:rsidP="00651AA1">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م.م حسن علاوي صبار</w:t>
            </w:r>
            <w:r>
              <w:rPr>
                <w:rFonts w:ascii="Cambria" w:eastAsia="Cambria" w:hAnsi="Cambria" w:hint="cs"/>
                <w:color w:val="000000"/>
                <w:sz w:val="28"/>
                <w:szCs w:val="28"/>
                <w:rtl/>
              </w:rPr>
              <w:t xml:space="preserve">                 </w:t>
            </w:r>
          </w:p>
          <w:p w14:paraId="1E221828" w14:textId="49F52F5F" w:rsidR="00651AA1" w:rsidRPr="00E87F21" w:rsidRDefault="00651AA1" w:rsidP="00A00F02">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hyperlink r:id="rId8" w:history="1">
              <w:r w:rsidR="00E83518" w:rsidRPr="00A87347">
                <w:rPr>
                  <w:rStyle w:val="Hyperlink"/>
                  <w:rFonts w:ascii="Cambria" w:eastAsia="Cambria" w:hAnsi="Cambria"/>
                  <w:sz w:val="28"/>
                  <w:szCs w:val="28"/>
                </w:rPr>
                <w:t>hassan.as@uowa.edu.iq</w:t>
              </w:r>
            </w:hyperlink>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74133A">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165" w:type="dxa"/>
            <w:gridSpan w:val="3"/>
          </w:tcPr>
          <w:p w14:paraId="18DF5FD2" w14:textId="2F1F95D2" w:rsidR="00651AA1" w:rsidRPr="00212A56" w:rsidRDefault="00A00F02" w:rsidP="00A00F02">
            <w:pPr>
              <w:ind w:leftChars="0" w:left="0" w:right="-426" w:firstLineChars="0" w:firstLine="0"/>
              <w:jc w:val="both"/>
              <w:rPr>
                <w:rFonts w:ascii="Simplified Arabic" w:eastAsia="Simplified Arabic" w:hAnsi="Simplified Arabic" w:cs="Simplified Arabic"/>
              </w:rPr>
            </w:pPr>
            <w:r w:rsidRPr="00A00F02">
              <w:rPr>
                <w:rFonts w:ascii="Simplified Arabic" w:eastAsia="Simplified Arabic" w:hAnsi="Simplified Arabic" w:cs="Simplified Arabic"/>
                <w:rtl/>
              </w:rPr>
              <w:t>• يهدف موضوع الرياضيات إلى توضيح التحديات العملية والفلسفية للرياضيات الهندسية الحالية والتي حفزت هذا التطور المستمر، وكذلك تقديم المفاهيم الأساسية للدوال ومجالاتها المفيدة لمزيد من الدراسة في العلوم الهندسية والرياضيات التطبيقية في المجال العلمي والعملي. ويتم ذلك بدءاً من مراجعة المبادئ الأساسية ودراسة معنى الدالة وكيفية رسمها على الموضوع وإيجاد الغرض منها وكذلك معرفة ميل المماس لها واستخدامه في حل الدوائر الكهربائية وذلك بإيجاد قيم المتغيرات المطلوبة له والمتجهات وأخيراً الإحداثيات القطبية... بالإضافة إلى التعريف بمبادئ التكامل. التمايز وتطبيقاته وبعض الوظائف بشكل خاص، بالإضافة إلى زيادة فرصة ممارسة الطلاب لأساليب التفكير السليم، مثل التفكير التأملي والاستنتاجي والاستقرائي، وزيادة مهاراتهم في استخدام أسلوب حل المشكلات لفهم ما يدرسونه، والكشف عن علاقات جديدة</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7A16C176" w14:textId="77777777" w:rsidR="00A00F02" w:rsidRPr="00A00F02" w:rsidRDefault="00A00F02" w:rsidP="00A00F02">
            <w:pPr>
              <w:autoSpaceDE w:val="0"/>
              <w:autoSpaceDN w:val="0"/>
              <w:adjustRightInd w:val="0"/>
              <w:ind w:left="1" w:hanging="3"/>
              <w:jc w:val="center"/>
              <w:rPr>
                <w:rFonts w:ascii="Cambria" w:hAnsi="Cambria"/>
                <w:color w:val="000000"/>
                <w:sz w:val="28"/>
                <w:szCs w:val="28"/>
                <w:lang w:bidi="ar-IQ"/>
              </w:rPr>
            </w:pPr>
            <w:r w:rsidRPr="00A00F02">
              <w:rPr>
                <w:rFonts w:ascii="Cambria" w:hAnsi="Cambria"/>
                <w:color w:val="000000"/>
                <w:sz w:val="28"/>
                <w:szCs w:val="28"/>
                <w:lang w:bidi="ar-IQ"/>
              </w:rPr>
              <w:t xml:space="preserve">1- </w:t>
            </w:r>
            <w:r w:rsidRPr="00A00F02">
              <w:rPr>
                <w:rFonts w:ascii="Cambria" w:hAnsi="Cambria"/>
                <w:color w:val="000000"/>
                <w:sz w:val="28"/>
                <w:szCs w:val="28"/>
                <w:rtl/>
                <w:lang w:bidi="ar-IQ"/>
              </w:rPr>
              <w:t>تمكين الطالب من إظهار المعرفة الحقيقية بالمفاهيم الرياضية خلال المرحلة الأكاديمية وتطبيقاتها في مجال علم الاتصالات.</w:t>
            </w:r>
          </w:p>
          <w:p w14:paraId="5608B823" w14:textId="77777777" w:rsidR="00A00F02" w:rsidRPr="00A00F02" w:rsidRDefault="00A00F02" w:rsidP="00A00F02">
            <w:pPr>
              <w:autoSpaceDE w:val="0"/>
              <w:autoSpaceDN w:val="0"/>
              <w:adjustRightInd w:val="0"/>
              <w:ind w:left="1" w:hanging="3"/>
              <w:jc w:val="center"/>
              <w:rPr>
                <w:rFonts w:ascii="Cambria" w:hAnsi="Cambria"/>
                <w:color w:val="000000"/>
                <w:sz w:val="28"/>
                <w:szCs w:val="28"/>
                <w:lang w:bidi="ar-IQ"/>
              </w:rPr>
            </w:pPr>
            <w:r w:rsidRPr="00A00F02">
              <w:rPr>
                <w:rFonts w:ascii="Cambria" w:hAnsi="Cambria"/>
                <w:color w:val="000000"/>
                <w:sz w:val="28"/>
                <w:szCs w:val="28"/>
                <w:lang w:bidi="ar-IQ"/>
              </w:rPr>
              <w:t xml:space="preserve">2- </w:t>
            </w:r>
            <w:r w:rsidRPr="00A00F02">
              <w:rPr>
                <w:rFonts w:ascii="Cambria" w:hAnsi="Cambria"/>
                <w:color w:val="000000"/>
                <w:sz w:val="28"/>
                <w:szCs w:val="28"/>
                <w:rtl/>
                <w:lang w:bidi="ar-IQ"/>
              </w:rPr>
              <w:t xml:space="preserve">تعلم وفهم التعاريف الأساسية المستخدمة في الرياضيات الهندسية، مثل ميداليات القيمة الحقيقية، والأسس والجذور، والمعادلات، والمتباينات، والرسوم البيانية. </w:t>
            </w:r>
            <w:r w:rsidRPr="00A00F02">
              <w:rPr>
                <w:rFonts w:ascii="Cambria" w:hAnsi="Cambria"/>
                <w:color w:val="000000"/>
                <w:sz w:val="28"/>
                <w:szCs w:val="28"/>
                <w:cs/>
                <w:lang w:bidi="ar-IQ"/>
              </w:rPr>
              <w:t>‎</w:t>
            </w:r>
            <w:r w:rsidRPr="00A00F02">
              <w:rPr>
                <w:rFonts w:ascii="Cambria" w:hAnsi="Cambria"/>
                <w:color w:val="000000"/>
                <w:sz w:val="28"/>
                <w:szCs w:val="28"/>
                <w:rtl/>
                <w:lang w:bidi="ar-IQ"/>
              </w:rPr>
              <w:t>‏</w:t>
            </w:r>
          </w:p>
          <w:p w14:paraId="278D02B0" w14:textId="77777777" w:rsidR="00A00F02" w:rsidRPr="00A00F02" w:rsidRDefault="00A00F02" w:rsidP="00A00F02">
            <w:pPr>
              <w:autoSpaceDE w:val="0"/>
              <w:autoSpaceDN w:val="0"/>
              <w:adjustRightInd w:val="0"/>
              <w:ind w:left="1" w:hanging="3"/>
              <w:jc w:val="center"/>
              <w:rPr>
                <w:rFonts w:ascii="Cambria" w:hAnsi="Cambria"/>
                <w:color w:val="000000"/>
                <w:sz w:val="28"/>
                <w:szCs w:val="28"/>
                <w:lang w:bidi="ar-IQ"/>
              </w:rPr>
            </w:pPr>
            <w:r w:rsidRPr="00A00F02">
              <w:rPr>
                <w:rFonts w:ascii="Cambria" w:hAnsi="Cambria"/>
                <w:color w:val="000000"/>
                <w:sz w:val="28"/>
                <w:szCs w:val="28"/>
                <w:lang w:bidi="ar-IQ"/>
              </w:rPr>
              <w:lastRenderedPageBreak/>
              <w:t xml:space="preserve">3- </w:t>
            </w:r>
            <w:r w:rsidRPr="00A00F02">
              <w:rPr>
                <w:rFonts w:ascii="Cambria" w:hAnsi="Cambria"/>
                <w:color w:val="000000"/>
                <w:sz w:val="28"/>
                <w:szCs w:val="28"/>
                <w:rtl/>
                <w:lang w:bidi="ar-IQ"/>
              </w:rPr>
              <w:t>تعلم وفهم طرق الحل وتطبيقات الوقت في حساب التفاضل والتكامل</w:t>
            </w:r>
          </w:p>
          <w:p w14:paraId="7A292A2C" w14:textId="67ACE9F5" w:rsidR="00651AA1" w:rsidRPr="00212A56" w:rsidRDefault="00A00F02" w:rsidP="00A00F02">
            <w:pPr>
              <w:autoSpaceDE w:val="0"/>
              <w:autoSpaceDN w:val="0"/>
              <w:bidi w:val="0"/>
              <w:adjustRightInd w:val="0"/>
              <w:ind w:left="1" w:hanging="3"/>
              <w:jc w:val="center"/>
              <w:rPr>
                <w:rFonts w:ascii="Cambria" w:hAnsi="Cambria"/>
                <w:color w:val="000000"/>
                <w:sz w:val="28"/>
                <w:szCs w:val="28"/>
                <w:rtl/>
                <w:lang w:bidi="ar-IQ"/>
              </w:rPr>
            </w:pPr>
            <w:r w:rsidRPr="00A00F02">
              <w:rPr>
                <w:rFonts w:ascii="Cambria" w:hAnsi="Cambria"/>
                <w:color w:val="000000"/>
                <w:sz w:val="28"/>
                <w:szCs w:val="28"/>
                <w:lang w:bidi="ar-IQ"/>
              </w:rPr>
              <w:t xml:space="preserve">4- </w:t>
            </w:r>
            <w:r w:rsidRPr="00A00F02">
              <w:rPr>
                <w:rFonts w:ascii="Cambria" w:hAnsi="Cambria"/>
                <w:color w:val="000000"/>
                <w:sz w:val="28"/>
                <w:szCs w:val="28"/>
                <w:rtl/>
                <w:lang w:bidi="ar-IQ"/>
              </w:rPr>
              <w:t>تعلم وتطبيق القوانين والصيغ التي تنتج مباشرة من المفاهيم الرياضية، مثل المعادلات التربيعية والدوال الأسية وخصائص العلاقات اللوغاريتمية</w:t>
            </w:r>
            <w:r w:rsidRPr="00A00F02">
              <w:rPr>
                <w:rFonts w:ascii="Cambria" w:hAnsi="Cambria"/>
                <w:color w:val="000000"/>
                <w:sz w:val="28"/>
                <w:szCs w:val="28"/>
                <w:lang w:bidi="ar-IQ"/>
              </w:rPr>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651AA1" w14:paraId="0AFD1580" w14:textId="77777777" w:rsidTr="00D202F3">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74"/>
        <w:gridCol w:w="1724"/>
        <w:gridCol w:w="1514"/>
        <w:gridCol w:w="3492"/>
        <w:gridCol w:w="1134"/>
        <w:gridCol w:w="1055"/>
      </w:tblGrid>
      <w:tr w:rsidR="00D202F3" w:rsidRPr="000674C0" w14:paraId="1596B45E"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4C09B304" w14:textId="2A7E56A3" w:rsidR="00E615EC" w:rsidRPr="000674C0" w:rsidRDefault="00E615EC"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1+2+3</w:t>
            </w:r>
          </w:p>
        </w:tc>
        <w:tc>
          <w:tcPr>
            <w:tcW w:w="872" w:type="pct"/>
            <w:vAlign w:val="center"/>
          </w:tcPr>
          <w:p w14:paraId="2B25830F" w14:textId="1C7ADB44" w:rsidR="00E615EC" w:rsidRPr="000674C0" w:rsidRDefault="00E615EC"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5921B1C9" w14:textId="3D668901" w:rsidR="00E615EC" w:rsidRPr="00E123E3" w:rsidRDefault="00E615EC" w:rsidP="00E615EC">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rtl/>
                <w:lang w:bidi="ar-IQ"/>
              </w:rPr>
              <w:t>الدوال</w:t>
            </w:r>
          </w:p>
        </w:tc>
        <w:tc>
          <w:tcPr>
            <w:tcW w:w="1765" w:type="pct"/>
            <w:vAlign w:val="center"/>
          </w:tcPr>
          <w:p w14:paraId="24895BB0" w14:textId="77777777" w:rsidR="00E615EC" w:rsidRPr="00E615EC" w:rsidRDefault="00E615EC" w:rsidP="00E615EC">
            <w:pPr>
              <w:ind w:left="0" w:hanging="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615EC">
              <w:rPr>
                <w:rFonts w:asciiTheme="majorBidi" w:hAnsiTheme="majorBidi"/>
                <w:sz w:val="24"/>
                <w:szCs w:val="24"/>
                <w:rtl/>
                <w:lang w:bidi="ar-SY"/>
              </w:rPr>
              <w:t>الدوال: مقدمة، ترميز الدالة، أمثلة، الدالة كجدول، الحل والتقييم، أمثلة، الرسوم البيانية كدوال، أمثلة، تطبيق الدالة. المجال والمدى: مقدمة، أمثلة</w:t>
            </w:r>
          </w:p>
          <w:p w14:paraId="7CAE55F7" w14:textId="448F3D3D" w:rsidR="00E615EC" w:rsidRPr="000674C0" w:rsidRDefault="00E615EC" w:rsidP="00E615EC">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615EC">
              <w:rPr>
                <w:rFonts w:asciiTheme="majorBidi" w:hAnsiTheme="majorBidi"/>
                <w:sz w:val="24"/>
                <w:szCs w:val="24"/>
                <w:rtl/>
                <w:lang w:bidi="ar-SY"/>
              </w:rPr>
              <w:t>القيمة المطلقة: مقدمة، أمثلة</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11D2649"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1922588" w14:textId="41414D74" w:rsidR="00E615EC" w:rsidRPr="000674C0" w:rsidRDefault="00402535" w:rsidP="00402535">
            <w:pPr>
              <w:tabs>
                <w:tab w:val="left" w:pos="642"/>
              </w:tabs>
              <w:autoSpaceDE w:val="0"/>
              <w:autoSpaceDN w:val="0"/>
              <w:adjustRightInd w:val="0"/>
              <w:ind w:left="1" w:hanging="3"/>
              <w:jc w:val="both"/>
              <w:rPr>
                <w:rFonts w:asciiTheme="majorBidi" w:hAnsiTheme="majorBidi" w:cstheme="majorBidi"/>
                <w:color w:val="000000"/>
                <w:sz w:val="24"/>
                <w:szCs w:val="24"/>
                <w:rtl/>
                <w:lang w:bidi="ar-IQ"/>
              </w:rPr>
            </w:pPr>
            <w:r>
              <w:rPr>
                <w:rFonts w:ascii="Cambria" w:hAnsi="Cambria" w:hint="cs"/>
                <w:color w:val="000000"/>
                <w:sz w:val="28"/>
                <w:szCs w:val="28"/>
                <w:rtl/>
                <w:lang w:bidi="ar-IQ"/>
              </w:rPr>
              <w:t>4+5</w:t>
            </w:r>
          </w:p>
        </w:tc>
        <w:tc>
          <w:tcPr>
            <w:tcW w:w="872" w:type="pct"/>
            <w:vAlign w:val="center"/>
          </w:tcPr>
          <w:p w14:paraId="6EB6B2C3" w14:textId="13556729" w:rsidR="00E615EC" w:rsidRPr="000674C0" w:rsidRDefault="00E615EC"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1F4D34E" w14:textId="25A7C336" w:rsidR="00E615EC" w:rsidRPr="00E123E3" w:rsidRDefault="00E615EC" w:rsidP="00E615EC">
            <w:pPr>
              <w:autoSpaceDE w:val="0"/>
              <w:autoSpaceDN w:val="0"/>
              <w:adjustRightInd w:val="0"/>
              <w:ind w:left="0" w:hanging="2"/>
              <w:jc w:val="center"/>
              <w:rPr>
                <w:rFonts w:asciiTheme="majorBidi" w:hAnsiTheme="majorBidi" w:cstheme="majorBidi"/>
                <w:color w:val="000000"/>
                <w:lang w:bidi="ar-IQ"/>
              </w:rPr>
            </w:pPr>
            <w:r w:rsidRPr="00E615EC">
              <w:rPr>
                <w:rFonts w:asciiTheme="majorBidi" w:hAnsiTheme="majorBidi"/>
                <w:color w:val="000000"/>
                <w:rtl/>
                <w:lang w:bidi="ar-IQ"/>
              </w:rPr>
              <w:t>المعادلات الخطية: الميل ومعادلات الخط</w:t>
            </w:r>
          </w:p>
        </w:tc>
        <w:tc>
          <w:tcPr>
            <w:tcW w:w="1765" w:type="pct"/>
            <w:vAlign w:val="center"/>
          </w:tcPr>
          <w:p w14:paraId="7CB679A9" w14:textId="77777777" w:rsidR="00402535" w:rsidRPr="00402535" w:rsidRDefault="00402535" w:rsidP="00402535">
            <w:pPr>
              <w:ind w:left="0" w:hanging="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الإحداثيات والرسوم البيانية في المستوى: مقدمة، أمثلة</w:t>
            </w:r>
          </w:p>
          <w:p w14:paraId="585B49E6" w14:textId="7F6632F0" w:rsidR="00E615EC" w:rsidRPr="000674C0" w:rsidRDefault="00402535" w:rsidP="00402535">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الميل: مقدمة، المعادلة الخطية، أمثلة، الخطوط الأفقية والرأسية، أمثلة، الخطوط المتوازية والمتعامدة، أمثلة، تطبيقات الميل</w:t>
            </w:r>
            <w:r w:rsidRPr="00402535">
              <w:rPr>
                <w:rFonts w:asciiTheme="majorBidi" w:hAnsiTheme="majorBidi" w:cstheme="majorBidi"/>
                <w:sz w:val="24"/>
                <w:szCs w:val="24"/>
                <w:lang w:bidi="ar-SY"/>
              </w:rPr>
              <w: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E615EC" w:rsidRPr="000674C0" w:rsidRDefault="00402535" w:rsidP="00402535">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116C1FF" w14:textId="5ACA63CA"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3A1D8D2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76527F68" w14:textId="1D5C29F4"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6+7</w:t>
            </w:r>
          </w:p>
        </w:tc>
        <w:tc>
          <w:tcPr>
            <w:tcW w:w="872" w:type="pct"/>
            <w:vAlign w:val="center"/>
          </w:tcPr>
          <w:p w14:paraId="55EE9E29" w14:textId="004FBED8"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3E365B98" w14:textId="1B367D19" w:rsidR="00E615EC" w:rsidRPr="004D1120" w:rsidRDefault="00402535" w:rsidP="00E615EC">
            <w:pPr>
              <w:autoSpaceDE w:val="0"/>
              <w:autoSpaceDN w:val="0"/>
              <w:adjustRightInd w:val="0"/>
              <w:ind w:left="0" w:hanging="2"/>
              <w:jc w:val="center"/>
              <w:rPr>
                <w:rFonts w:asciiTheme="majorBidi" w:hAnsiTheme="majorBidi" w:cstheme="majorBidi"/>
                <w:color w:val="000000"/>
                <w:lang w:bidi="ar-IQ"/>
              </w:rPr>
            </w:pPr>
            <w:r w:rsidRPr="00402535">
              <w:rPr>
                <w:rFonts w:asciiTheme="majorBidi" w:hAnsiTheme="majorBidi"/>
                <w:color w:val="000000"/>
                <w:rtl/>
                <w:lang w:bidi="ar-IQ"/>
              </w:rPr>
              <w:t>الحدود والاستمرارية</w:t>
            </w:r>
          </w:p>
        </w:tc>
        <w:tc>
          <w:tcPr>
            <w:tcW w:w="1765" w:type="pct"/>
            <w:vAlign w:val="center"/>
          </w:tcPr>
          <w:p w14:paraId="7CB8A592" w14:textId="77777777" w:rsidR="00402535" w:rsidRPr="00402535" w:rsidRDefault="00402535" w:rsidP="00402535">
            <w:pPr>
              <w:ind w:left="0" w:hanging="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الحدود: مقدمة، الحدود الموجودة عدديا وجبريا، أمثلة</w:t>
            </w:r>
          </w:p>
          <w:p w14:paraId="52B4BD43" w14:textId="77777777" w:rsidR="00402535" w:rsidRPr="00402535" w:rsidRDefault="00402535" w:rsidP="00402535">
            <w:pPr>
              <w:ind w:left="0" w:hanging="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الاستمرارية: مقدمة، أمثلة</w:t>
            </w:r>
          </w:p>
          <w:p w14:paraId="7ACD8A7A" w14:textId="77777777" w:rsidR="00402535" w:rsidRPr="00402535" w:rsidRDefault="00402535" w:rsidP="00402535">
            <w:pPr>
              <w:ind w:left="0" w:hanging="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تقدير الحدود عند نقطة: مقدمة، أمثلة</w:t>
            </w:r>
          </w:p>
          <w:p w14:paraId="4664A1BF" w14:textId="3A46740A" w:rsidR="00E615EC" w:rsidRPr="000674C0" w:rsidRDefault="00402535" w:rsidP="00402535">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الحدود اللانهائية: مقدمة، أمثلة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5085DA89" w14:textId="72421D47" w:rsidR="00E615EC" w:rsidRPr="000674C0" w:rsidRDefault="00402535"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685601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ABD6478" w14:textId="3956D829" w:rsidR="00E615EC" w:rsidRPr="000674C0" w:rsidRDefault="00402535" w:rsidP="00E615EC">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8+9</w:t>
            </w:r>
          </w:p>
        </w:tc>
        <w:tc>
          <w:tcPr>
            <w:tcW w:w="872" w:type="pct"/>
            <w:vAlign w:val="center"/>
          </w:tcPr>
          <w:p w14:paraId="6EC40BC2" w14:textId="4A9E0E1E" w:rsidR="00E615EC" w:rsidRPr="000674C0" w:rsidRDefault="00402535" w:rsidP="00402535">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 xml:space="preserve">4                           </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2040C35" w14:textId="1B395273" w:rsidR="00E615EC" w:rsidRPr="004D1120" w:rsidRDefault="00402535" w:rsidP="00E615EC">
            <w:pPr>
              <w:autoSpaceDE w:val="0"/>
              <w:autoSpaceDN w:val="0"/>
              <w:adjustRightInd w:val="0"/>
              <w:ind w:left="0" w:hanging="2"/>
              <w:jc w:val="center"/>
              <w:rPr>
                <w:rFonts w:asciiTheme="majorBidi" w:hAnsiTheme="majorBidi" w:cstheme="majorBidi"/>
                <w:color w:val="000000"/>
                <w:lang w:bidi="ar-IQ"/>
              </w:rPr>
            </w:pPr>
            <w:r w:rsidRPr="00402535">
              <w:rPr>
                <w:rFonts w:asciiTheme="majorBidi" w:hAnsiTheme="majorBidi"/>
                <w:color w:val="000000"/>
                <w:rtl/>
                <w:lang w:bidi="ar-IQ"/>
              </w:rPr>
              <w:t>الدالة المثلثية والرسوم البيانية</w:t>
            </w:r>
          </w:p>
        </w:tc>
        <w:tc>
          <w:tcPr>
            <w:tcW w:w="1765" w:type="pct"/>
            <w:vAlign w:val="center"/>
          </w:tcPr>
          <w:p w14:paraId="20553B7A" w14:textId="7519EF50" w:rsidR="00E615EC" w:rsidRPr="000674C0" w:rsidRDefault="00402535" w:rsidP="00E615EC">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402535">
              <w:rPr>
                <w:rFonts w:asciiTheme="majorBidi" w:hAnsiTheme="majorBidi"/>
                <w:sz w:val="24"/>
                <w:szCs w:val="24"/>
                <w:rtl/>
                <w:lang w:bidi="ar-SY"/>
              </w:rPr>
              <w:t>مشتقة الدوال المثلثية: مقدمة، رسوم بيانية، المجال، المدى، الأمثلة، التطبيق</w:t>
            </w:r>
            <w:r w:rsidRPr="00402535">
              <w:rPr>
                <w:rFonts w:asciiTheme="majorBidi" w:hAnsiTheme="majorBidi" w:cstheme="majorBidi"/>
                <w:sz w:val="24"/>
                <w:szCs w:val="24"/>
                <w:lang w:bidi="ar-SY"/>
              </w:rPr>
              <w:t>.</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E615EC" w:rsidRPr="000674C0" w:rsidRDefault="00402535"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644858D9" w14:textId="79F175D7" w:rsidR="00E615EC" w:rsidRPr="000674C0" w:rsidRDefault="00402535" w:rsidP="00E615EC">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2F09A1A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5C51154" w14:textId="26B29E99"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10+11</w:t>
            </w:r>
          </w:p>
        </w:tc>
        <w:tc>
          <w:tcPr>
            <w:tcW w:w="872" w:type="pct"/>
            <w:vAlign w:val="center"/>
          </w:tcPr>
          <w:p w14:paraId="7436805B" w14:textId="56FC0020"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9E70FC7" w14:textId="6AB69C90" w:rsidR="00E83518" w:rsidRPr="004D1120" w:rsidRDefault="00E83518" w:rsidP="00E83518">
            <w:pPr>
              <w:autoSpaceDE w:val="0"/>
              <w:autoSpaceDN w:val="0"/>
              <w:adjustRightInd w:val="0"/>
              <w:ind w:left="0" w:hanging="2"/>
              <w:jc w:val="center"/>
              <w:rPr>
                <w:rFonts w:asciiTheme="majorBidi" w:hAnsiTheme="majorBidi" w:cstheme="majorBidi"/>
                <w:color w:val="000000"/>
                <w:lang w:bidi="ar-IQ"/>
              </w:rPr>
            </w:pPr>
            <w:r w:rsidRPr="00E83518">
              <w:rPr>
                <w:rFonts w:asciiTheme="majorBidi" w:hAnsiTheme="majorBidi"/>
                <w:color w:val="000000"/>
                <w:rtl/>
                <w:lang w:bidi="ar-IQ"/>
              </w:rPr>
              <w:t>الدالة المثلثية والرسوم البيانية</w:t>
            </w:r>
          </w:p>
        </w:tc>
        <w:tc>
          <w:tcPr>
            <w:tcW w:w="1765" w:type="pct"/>
            <w:vAlign w:val="center"/>
          </w:tcPr>
          <w:p w14:paraId="605534B6" w14:textId="6A073557" w:rsidR="00E83518" w:rsidRPr="000674C0" w:rsidRDefault="00E83518"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E83518">
              <w:rPr>
                <w:rFonts w:asciiTheme="majorBidi" w:hAnsiTheme="majorBidi"/>
                <w:sz w:val="24"/>
                <w:szCs w:val="24"/>
                <w:rtl/>
                <w:lang w:bidi="ar-SY"/>
              </w:rPr>
              <w:t>التفاضل الضمني وقوة الكسر: مقدمة، أمثلة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E83518" w:rsidRPr="000674C0" w:rsidRDefault="00E83518" w:rsidP="00E83518">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3" w:type="pct"/>
            <w:vAlign w:val="center"/>
          </w:tcPr>
          <w:p w14:paraId="443B3915" w14:textId="1083AEC5" w:rsidR="00E83518" w:rsidRPr="000674C0" w:rsidRDefault="00E83518"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1011576D"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1F8BB1BB" w14:textId="379E7294" w:rsidR="00E83518" w:rsidRPr="000674C0" w:rsidRDefault="00E83518"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12</w:t>
            </w:r>
          </w:p>
        </w:tc>
        <w:tc>
          <w:tcPr>
            <w:tcW w:w="872" w:type="pct"/>
            <w:vAlign w:val="center"/>
          </w:tcPr>
          <w:p w14:paraId="4D2E0489" w14:textId="38909E2F" w:rsidR="00E83518" w:rsidRPr="000674C0" w:rsidRDefault="00D202F3" w:rsidP="00D202F3">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970DF0C" w14:textId="35BA6A61" w:rsidR="00E83518" w:rsidRPr="004D1120" w:rsidRDefault="00E83518" w:rsidP="00E83518">
            <w:pPr>
              <w:autoSpaceDE w:val="0"/>
              <w:autoSpaceDN w:val="0"/>
              <w:adjustRightInd w:val="0"/>
              <w:ind w:leftChars="0" w:left="0" w:firstLineChars="0" w:firstLine="0"/>
              <w:jc w:val="both"/>
              <w:rPr>
                <w:rFonts w:asciiTheme="majorBidi" w:hAnsiTheme="majorBidi" w:cstheme="majorBidi"/>
                <w:color w:val="000000"/>
                <w:lang w:bidi="ar-IQ"/>
              </w:rPr>
            </w:pPr>
            <w:r w:rsidRPr="00E83518">
              <w:rPr>
                <w:rFonts w:asciiTheme="majorBidi" w:hAnsiTheme="majorBidi"/>
                <w:color w:val="000000"/>
                <w:rtl/>
                <w:lang w:bidi="ar-IQ"/>
              </w:rPr>
              <w:t>القيم القصوى والدنيا</w:t>
            </w:r>
          </w:p>
        </w:tc>
        <w:tc>
          <w:tcPr>
            <w:tcW w:w="1765" w:type="pct"/>
            <w:vAlign w:val="center"/>
          </w:tcPr>
          <w:p w14:paraId="7A29C30C" w14:textId="0A7AFEA7" w:rsidR="00E83518" w:rsidRPr="000674C0" w:rsidRDefault="004C586A"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4C586A">
              <w:rPr>
                <w:rFonts w:asciiTheme="majorBidi" w:hAnsiTheme="majorBidi"/>
                <w:sz w:val="24"/>
                <w:szCs w:val="24"/>
                <w:rtl/>
                <w:lang w:bidi="ar-SY"/>
              </w:rPr>
              <w:t>القيم القصوى والدنيا: مقدمة، الرسم البياني المنحني مع الخطوط المقاربة للدالة المنطقية والمصطلحات السائدة، أمثلة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5B66C145" w14:textId="0E4679BB"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5B2FD28A"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04539E88" w14:textId="5DD654A6" w:rsidR="00E83518" w:rsidRPr="000674C0"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13</w:t>
            </w:r>
          </w:p>
        </w:tc>
        <w:tc>
          <w:tcPr>
            <w:tcW w:w="872" w:type="pct"/>
            <w:vAlign w:val="center"/>
          </w:tcPr>
          <w:p w14:paraId="16F58826" w14:textId="1A93B3AE" w:rsidR="00E83518" w:rsidRPr="000674C0" w:rsidRDefault="004C586A" w:rsidP="004C586A">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6474CAE1" w14:textId="21FA7C98" w:rsidR="00E83518" w:rsidRPr="004D1120" w:rsidRDefault="004C586A" w:rsidP="004C586A">
            <w:pPr>
              <w:autoSpaceDE w:val="0"/>
              <w:autoSpaceDN w:val="0"/>
              <w:adjustRightInd w:val="0"/>
              <w:ind w:left="0" w:hanging="2"/>
              <w:jc w:val="center"/>
              <w:rPr>
                <w:rFonts w:asciiTheme="majorBidi" w:hAnsiTheme="majorBidi" w:cstheme="majorBidi"/>
                <w:color w:val="000000"/>
                <w:lang w:bidi="ar-IQ"/>
              </w:rPr>
            </w:pPr>
            <w:r w:rsidRPr="004C586A">
              <w:rPr>
                <w:rFonts w:asciiTheme="majorBidi" w:hAnsiTheme="majorBidi"/>
                <w:color w:val="000000"/>
                <w:rtl/>
                <w:lang w:bidi="ar-IQ"/>
              </w:rPr>
              <w:t>قاعدة كرامر</w:t>
            </w:r>
          </w:p>
        </w:tc>
        <w:tc>
          <w:tcPr>
            <w:tcW w:w="1765" w:type="pct"/>
            <w:vAlign w:val="center"/>
          </w:tcPr>
          <w:p w14:paraId="6F9818F7" w14:textId="12FED9E4" w:rsidR="00E83518" w:rsidRPr="004C586A" w:rsidRDefault="004C586A" w:rsidP="00E83518">
            <w:pPr>
              <w:ind w:left="1" w:hanging="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SY"/>
              </w:rPr>
            </w:pPr>
            <w:r w:rsidRPr="004C586A">
              <w:rPr>
                <w:sz w:val="28"/>
                <w:szCs w:val="28"/>
                <w:rtl/>
              </w:rPr>
              <w:t>قاعدة كرامر: المقدمة، الأمثلة، التطبيق</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902A5E8"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35A37798" w14:textId="7708E0E8"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4B81F246" w14:textId="77777777" w:rsidTr="00D202F3">
        <w:trPr>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4ACED8B" w14:textId="46E9039E"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14</w:t>
            </w:r>
          </w:p>
        </w:tc>
        <w:tc>
          <w:tcPr>
            <w:tcW w:w="872" w:type="pct"/>
            <w:vAlign w:val="center"/>
          </w:tcPr>
          <w:p w14:paraId="0921DF8A" w14:textId="52823553" w:rsidR="00E83518" w:rsidRPr="000674C0" w:rsidRDefault="004C586A" w:rsidP="004C586A">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73897624" w14:textId="4E3C8A34" w:rsidR="00E83518" w:rsidRPr="004D1120" w:rsidRDefault="004C586A" w:rsidP="00E83518">
            <w:pPr>
              <w:autoSpaceDE w:val="0"/>
              <w:autoSpaceDN w:val="0"/>
              <w:adjustRightInd w:val="0"/>
              <w:ind w:left="0" w:hanging="2"/>
              <w:jc w:val="center"/>
              <w:rPr>
                <w:rFonts w:asciiTheme="majorBidi" w:hAnsiTheme="majorBidi" w:cstheme="majorBidi"/>
                <w:color w:val="000000"/>
                <w:lang w:bidi="ar-IQ"/>
              </w:rPr>
            </w:pPr>
            <w:r>
              <w:rPr>
                <w:rFonts w:asciiTheme="majorBidi" w:hAnsiTheme="majorBidi" w:cstheme="majorBidi" w:hint="cs"/>
                <w:color w:val="000000"/>
                <w:rtl/>
                <w:lang w:bidi="ar-IQ"/>
              </w:rPr>
              <w:t>ميل المماس</w:t>
            </w:r>
          </w:p>
        </w:tc>
        <w:tc>
          <w:tcPr>
            <w:tcW w:w="1765" w:type="pct"/>
            <w:vAlign w:val="center"/>
          </w:tcPr>
          <w:p w14:paraId="24B55977" w14:textId="77777777" w:rsidR="00E83518" w:rsidRDefault="004C586A" w:rsidP="00E83518">
            <w:pPr>
              <w:ind w:left="0" w:hanging="2"/>
              <w:jc w:val="center"/>
              <w:cnfStyle w:val="000000000000" w:firstRow="0" w:lastRow="0" w:firstColumn="0" w:lastColumn="0" w:oddVBand="0" w:evenVBand="0" w:oddHBand="0" w:evenHBand="0" w:firstRowFirstColumn="0" w:firstRowLastColumn="0" w:lastRowFirstColumn="0" w:lastRowLastColumn="0"/>
              <w:rPr>
                <w:sz w:val="18"/>
                <w:szCs w:val="18"/>
                <w:rtl/>
              </w:rPr>
            </w:pPr>
            <w:r>
              <w:rPr>
                <w:rFonts w:hint="cs"/>
                <w:sz w:val="18"/>
                <w:szCs w:val="18"/>
                <w:rtl/>
              </w:rPr>
              <w:t xml:space="preserve">ميل الممااس </w:t>
            </w:r>
          </w:p>
          <w:p w14:paraId="2D413580" w14:textId="77777777" w:rsidR="004C586A" w:rsidRDefault="004C586A" w:rsidP="00E83518">
            <w:pPr>
              <w:ind w:left="0" w:hanging="2"/>
              <w:jc w:val="center"/>
              <w:cnfStyle w:val="000000000000" w:firstRow="0" w:lastRow="0" w:firstColumn="0" w:lastColumn="0" w:oddVBand="0" w:evenVBand="0" w:oddHBand="0" w:evenHBand="0" w:firstRowFirstColumn="0" w:firstRowLastColumn="0" w:lastRowFirstColumn="0" w:lastRowLastColumn="0"/>
              <w:rPr>
                <w:rFonts w:hint="cs"/>
                <w:sz w:val="18"/>
                <w:szCs w:val="18"/>
                <w:rtl/>
              </w:rPr>
            </w:pPr>
            <w:r>
              <w:rPr>
                <w:rFonts w:hint="cs"/>
                <w:sz w:val="18"/>
                <w:szCs w:val="18"/>
                <w:rtl/>
              </w:rPr>
              <w:t xml:space="preserve">مقدمة </w:t>
            </w:r>
          </w:p>
          <w:p w14:paraId="7B862814" w14:textId="7E0FD7DB" w:rsidR="004C586A" w:rsidRPr="000674C0" w:rsidRDefault="004C586A" w:rsidP="00E83518">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Pr>
                <w:rFonts w:hint="cs"/>
                <w:sz w:val="18"/>
                <w:szCs w:val="18"/>
                <w:rtl/>
              </w:rPr>
              <w:t>امثلة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64BC81C5"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2ECB622C" w14:textId="0DCA64EE" w:rsidR="00E83518" w:rsidRPr="000674C0" w:rsidRDefault="004C586A" w:rsidP="00E83518">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D202F3" w:rsidRPr="000674C0" w14:paraId="65E2CBE1" w14:textId="77777777" w:rsidTr="00D202F3">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492" w:type="pct"/>
            <w:vAlign w:val="center"/>
          </w:tcPr>
          <w:p w14:paraId="53383B6C" w14:textId="4A23905C" w:rsidR="00E83518" w:rsidRDefault="004C586A" w:rsidP="00E83518">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w:t>
            </w:r>
          </w:p>
        </w:tc>
        <w:tc>
          <w:tcPr>
            <w:tcW w:w="872" w:type="pct"/>
            <w:vAlign w:val="center"/>
          </w:tcPr>
          <w:p w14:paraId="2F4C8FD4" w14:textId="286A4D45" w:rsidR="00E83518" w:rsidRPr="000674C0" w:rsidRDefault="004C586A" w:rsidP="004C586A">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4</w:t>
            </w:r>
          </w:p>
        </w:tc>
        <w:tc>
          <w:tcPr>
            <w:cnfStyle w:val="000010000000" w:firstRow="0" w:lastRow="0" w:firstColumn="0" w:lastColumn="0" w:oddVBand="1" w:evenVBand="0" w:oddHBand="0" w:evenHBand="0" w:firstRowFirstColumn="0" w:firstRowLastColumn="0" w:lastRowFirstColumn="0" w:lastRowLastColumn="0"/>
            <w:tcW w:w="765" w:type="pct"/>
            <w:vAlign w:val="center"/>
          </w:tcPr>
          <w:p w14:paraId="27367994" w14:textId="48C96B8F" w:rsidR="00E83518" w:rsidRPr="004D1120" w:rsidRDefault="004C586A" w:rsidP="00E83518">
            <w:pPr>
              <w:autoSpaceDE w:val="0"/>
              <w:autoSpaceDN w:val="0"/>
              <w:adjustRightInd w:val="0"/>
              <w:ind w:left="0" w:hanging="2"/>
              <w:jc w:val="center"/>
              <w:rPr>
                <w:rFonts w:asciiTheme="majorBidi" w:hAnsiTheme="majorBidi" w:cstheme="majorBidi"/>
                <w:color w:val="000000"/>
                <w:lang w:bidi="ar-IQ"/>
              </w:rPr>
            </w:pPr>
            <w:r w:rsidRPr="004C586A">
              <w:rPr>
                <w:rFonts w:asciiTheme="majorBidi" w:hAnsiTheme="majorBidi"/>
                <w:color w:val="000000"/>
                <w:rtl/>
                <w:lang w:bidi="ar-IQ"/>
              </w:rPr>
              <w:t>قاعدة لوبيتال</w:t>
            </w:r>
          </w:p>
        </w:tc>
        <w:tc>
          <w:tcPr>
            <w:tcW w:w="1765" w:type="pct"/>
            <w:vAlign w:val="center"/>
          </w:tcPr>
          <w:p w14:paraId="4202E701" w14:textId="77777777" w:rsidR="00E83518" w:rsidRDefault="004C586A"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rtl/>
                <w:lang w:bidi="ar-SY"/>
              </w:rPr>
            </w:pPr>
            <w:r w:rsidRPr="004C586A">
              <w:rPr>
                <w:rFonts w:asciiTheme="majorBidi" w:hAnsiTheme="majorBidi"/>
                <w:sz w:val="24"/>
                <w:szCs w:val="24"/>
                <w:rtl/>
                <w:lang w:bidi="ar-SY"/>
              </w:rPr>
              <w:t>قاعدة لوبيتال</w:t>
            </w:r>
          </w:p>
          <w:p w14:paraId="4610B216" w14:textId="77777777" w:rsidR="004C586A" w:rsidRDefault="004C586A"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hint="cs"/>
                <w:sz w:val="24"/>
                <w:szCs w:val="24"/>
                <w:rtl/>
                <w:lang w:bidi="ar-SY"/>
              </w:rPr>
            </w:pPr>
            <w:r>
              <w:rPr>
                <w:rFonts w:asciiTheme="majorBidi" w:hAnsiTheme="majorBidi" w:hint="cs"/>
                <w:sz w:val="24"/>
                <w:szCs w:val="24"/>
                <w:rtl/>
                <w:lang w:bidi="ar-SY"/>
              </w:rPr>
              <w:t>مقدمة</w:t>
            </w:r>
          </w:p>
          <w:p w14:paraId="6FE2FA21" w14:textId="6E8FA6D9" w:rsidR="004C586A" w:rsidRPr="000674C0" w:rsidRDefault="004C586A" w:rsidP="00E83518">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rFonts w:asciiTheme="majorBidi" w:hAnsiTheme="majorBidi" w:hint="cs"/>
                <w:sz w:val="24"/>
                <w:szCs w:val="24"/>
                <w:rtl/>
                <w:lang w:bidi="ar-SY"/>
              </w:rPr>
              <w:t>امثلة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71A2BC3F" w14:textId="77777777" w:rsidR="00E83518" w:rsidRPr="000674C0" w:rsidRDefault="00E83518" w:rsidP="00E83518">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3" w:type="pct"/>
            <w:vAlign w:val="center"/>
          </w:tcPr>
          <w:p w14:paraId="0B1CAB42" w14:textId="3A677829" w:rsidR="00E83518" w:rsidRPr="000674C0" w:rsidRDefault="004C586A" w:rsidP="00E83518">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2E786590"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5BDD0992"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وضع درجات للواجبات البيئية والتقارير المكلفة بهم.</w:t>
            </w:r>
          </w:p>
          <w:p w14:paraId="0832556D" w14:textId="4EEA1649" w:rsidR="00212A56" w:rsidRP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 امتحانات فصلية للمنهج الدراسي اضافة الى امتحان نصف السنة والامتحان النهائي</w:t>
            </w:r>
            <w:r>
              <w:rPr>
                <w:rFonts w:ascii="Cambria" w:hAnsi="Cambria" w:cs="Times New Roman"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74133A" w:rsidRPr="00BB1D3D" w14:paraId="23AC7296" w14:textId="77777777" w:rsidTr="001062DA">
        <w:tc>
          <w:tcPr>
            <w:tcW w:w="1634" w:type="dxa"/>
          </w:tcPr>
          <w:p w14:paraId="3118A9F9"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441CE5E6" w14:textId="46AFEA15" w:rsidR="0074133A" w:rsidRPr="00BB1D3D" w:rsidRDefault="001062DA" w:rsidP="000B0CB4">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Theme="majorBidi" w:hAnsiTheme="majorBidi" w:cstheme="majorBidi"/>
                <w:color w:val="000000"/>
                <w:sz w:val="28"/>
                <w:szCs w:val="28"/>
                <w:lang w:bidi="ar-IQ"/>
              </w:rPr>
              <w:t>Calculus, Third Edition, ROBERT T. SMITH, Millersville University of Pennsylvania, ROLAND B. MINTON, Roanoke College</w:t>
            </w:r>
          </w:p>
        </w:tc>
      </w:tr>
      <w:tr w:rsidR="0074133A" w:rsidRPr="00BB1D3D" w14:paraId="2D2FB340" w14:textId="77777777" w:rsidTr="001062DA">
        <w:tc>
          <w:tcPr>
            <w:tcW w:w="1634" w:type="dxa"/>
          </w:tcPr>
          <w:p w14:paraId="29B4A9A7" w14:textId="77777777" w:rsidR="0074133A" w:rsidRDefault="0074133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1062DA" w:rsidRDefault="001062DA" w:rsidP="001062DA">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74133A" w:rsidRPr="001062DA" w:rsidRDefault="001062DA" w:rsidP="001062DA">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1062DA" w14:paraId="6719969A" w14:textId="77777777" w:rsidTr="00FB46BD">
        <w:tc>
          <w:tcPr>
            <w:tcW w:w="1634" w:type="dxa"/>
          </w:tcPr>
          <w:p w14:paraId="19FC7385" w14:textId="77777777" w:rsidR="001062DA" w:rsidRDefault="001062DA" w:rsidP="001062DA">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88DC9BC" w:rsidR="001062DA" w:rsidRDefault="001062DA" w:rsidP="001062DA">
            <w:pPr>
              <w:shd w:val="clear" w:color="auto" w:fill="FFFFFF"/>
              <w:bidi w:val="0"/>
              <w:ind w:left="1" w:right="-426" w:hanging="3"/>
              <w:jc w:val="both"/>
              <w:rPr>
                <w:rFonts w:ascii="Cambria" w:eastAsia="Cambria" w:hAnsi="Cambria" w:cs="Cambria"/>
                <w:sz w:val="28"/>
                <w:szCs w:val="28"/>
              </w:rPr>
            </w:pPr>
            <w:r w:rsidRPr="004F7237">
              <w:rPr>
                <w:rFonts w:ascii="Cambria" w:hAnsi="Cambria"/>
                <w:color w:val="000000"/>
                <w:sz w:val="28"/>
                <w:szCs w:val="28"/>
                <w:rtl/>
                <w:lang w:bidi="ar-IQ"/>
              </w:rPr>
              <w:t>جميع المجلات العلمية الرصينة التي لها علاقة بالمفهوم الواسع للنظريات الرياضية ونتائجها</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bookmarkStart w:id="0" w:name="_GoBack"/>
      <w:bookmarkEnd w:id="0"/>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A6CE" w14:textId="77777777" w:rsidR="0031416B" w:rsidRDefault="0031416B">
      <w:pPr>
        <w:spacing w:line="240" w:lineRule="auto"/>
        <w:ind w:left="0" w:hanging="2"/>
      </w:pPr>
      <w:r>
        <w:separator/>
      </w:r>
    </w:p>
  </w:endnote>
  <w:endnote w:type="continuationSeparator" w:id="0">
    <w:p w14:paraId="7F189FE6" w14:textId="77777777" w:rsidR="0031416B" w:rsidRDefault="003141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876BC4C"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1416B">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D736" w14:textId="77777777" w:rsidR="0031416B" w:rsidRDefault="0031416B">
      <w:pPr>
        <w:spacing w:line="240" w:lineRule="auto"/>
        <w:ind w:left="0" w:hanging="2"/>
      </w:pPr>
      <w:r>
        <w:separator/>
      </w:r>
    </w:p>
  </w:footnote>
  <w:footnote w:type="continuationSeparator" w:id="0">
    <w:p w14:paraId="232BF46C" w14:textId="77777777" w:rsidR="0031416B" w:rsidRDefault="003141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7"/>
  </w:num>
  <w:num w:numId="3">
    <w:abstractNumId w:val="4"/>
  </w:num>
  <w:num w:numId="4">
    <w:abstractNumId w:val="1"/>
  </w:num>
  <w:num w:numId="5">
    <w:abstractNumId w:val="2"/>
  </w:num>
  <w:num w:numId="6">
    <w:abstractNumId w:val="0"/>
  </w:num>
  <w:num w:numId="7">
    <w:abstractNumId w:val="1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1062DA"/>
    <w:rsid w:val="00212A56"/>
    <w:rsid w:val="00213E09"/>
    <w:rsid w:val="0031416B"/>
    <w:rsid w:val="003D4F3A"/>
    <w:rsid w:val="00402535"/>
    <w:rsid w:val="004C586A"/>
    <w:rsid w:val="00651AA1"/>
    <w:rsid w:val="0074133A"/>
    <w:rsid w:val="00765852"/>
    <w:rsid w:val="007D1393"/>
    <w:rsid w:val="0083383E"/>
    <w:rsid w:val="00A00F02"/>
    <w:rsid w:val="00A40107"/>
    <w:rsid w:val="00AD7D32"/>
    <w:rsid w:val="00BB1D3D"/>
    <w:rsid w:val="00D15819"/>
    <w:rsid w:val="00D202F3"/>
    <w:rsid w:val="00E615EC"/>
    <w:rsid w:val="00E83518"/>
    <w:rsid w:val="00E87F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ssan.as@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iraq falcon</cp:lastModifiedBy>
  <cp:revision>2</cp:revision>
  <dcterms:created xsi:type="dcterms:W3CDTF">2024-03-19T22:07:00Z</dcterms:created>
  <dcterms:modified xsi:type="dcterms:W3CDTF">2024-03-19T22:07:00Z</dcterms:modified>
</cp:coreProperties>
</file>