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100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060"/>
        <w:gridCol w:w="395"/>
        <w:gridCol w:w="1405"/>
        <w:gridCol w:w="1800"/>
        <w:gridCol w:w="990"/>
        <w:gridCol w:w="1530"/>
      </w:tblGrid>
      <w:tr w:rsidR="00A40107" w14:paraId="5BAB9957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A65AB0">
        <w:trPr>
          <w:jc w:val="right"/>
        </w:trPr>
        <w:tc>
          <w:tcPr>
            <w:tcW w:w="10075" w:type="dxa"/>
            <w:gridSpan w:val="7"/>
          </w:tcPr>
          <w:p w14:paraId="61267991" w14:textId="4525E71D" w:rsidR="00A40107" w:rsidRDefault="00F54035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متحكم دقيق</w:t>
            </w:r>
            <w:r w:rsidR="00A65AB0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A40107" w14:paraId="197558DF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11237CBF" w14:textId="713D43A0" w:rsidR="00A40107" w:rsidRDefault="00F54035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رمز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A40107" w14:paraId="1BE71A25" w14:textId="77777777" w:rsidTr="00A65AB0">
        <w:trPr>
          <w:jc w:val="right"/>
        </w:trPr>
        <w:tc>
          <w:tcPr>
            <w:tcW w:w="10075" w:type="dxa"/>
            <w:gridSpan w:val="7"/>
          </w:tcPr>
          <w:p w14:paraId="45DF204E" w14:textId="4F9A2C11" w:rsidR="00A40107" w:rsidRDefault="00F54035" w:rsidP="00A65AB0">
            <w:pPr>
              <w:spacing w:before="240" w:after="240" w:line="360" w:lineRule="auto"/>
              <w:ind w:left="0" w:hanging="2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WBM-51.06</w:t>
            </w:r>
          </w:p>
        </w:tc>
      </w:tr>
      <w:tr w:rsidR="00A40107" w14:paraId="122E5E9B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0BE2ADB3" w14:textId="57F53ACE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A40107" w14:paraId="73B1CF78" w14:textId="77777777" w:rsidTr="00A65AB0">
        <w:trPr>
          <w:jc w:val="right"/>
        </w:trPr>
        <w:tc>
          <w:tcPr>
            <w:tcW w:w="10075" w:type="dxa"/>
            <w:gridSpan w:val="7"/>
          </w:tcPr>
          <w:p w14:paraId="17F02B17" w14:textId="6489E9DF" w:rsidR="00A40107" w:rsidRDefault="007D1393" w:rsidP="007D30FD">
            <w:p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D1393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 ال</w:t>
            </w:r>
            <w:r w:rsidR="00AC755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اول</w:t>
            </w:r>
            <w:r w:rsidRPr="007D1393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/</w:t>
            </w:r>
            <w:r w:rsidR="00AC755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2023  2024</w:t>
            </w:r>
          </w:p>
        </w:tc>
      </w:tr>
      <w:tr w:rsidR="00A40107" w14:paraId="19B31597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07711EB1" w14:textId="668A052B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A40107" w14:paraId="44FF29FD" w14:textId="77777777" w:rsidTr="00A65AB0">
        <w:trPr>
          <w:jc w:val="right"/>
        </w:trPr>
        <w:tc>
          <w:tcPr>
            <w:tcW w:w="10075" w:type="dxa"/>
            <w:gridSpan w:val="7"/>
          </w:tcPr>
          <w:p w14:paraId="064FF88F" w14:textId="529A4FC9" w:rsidR="00A40107" w:rsidRDefault="007D1393" w:rsidP="007D30FD">
            <w:p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</w:t>
            </w:r>
            <w:r w:rsidR="003F1DA2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4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/2024</w:t>
            </w:r>
          </w:p>
        </w:tc>
      </w:tr>
      <w:tr w:rsidR="00A40107" w14:paraId="2C47E6FB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0BFAB6EA" w14:textId="0F0E7218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A40107" w14:paraId="6B7FBDAC" w14:textId="77777777" w:rsidTr="00A65AB0">
        <w:trPr>
          <w:jc w:val="right"/>
        </w:trPr>
        <w:tc>
          <w:tcPr>
            <w:tcW w:w="10075" w:type="dxa"/>
            <w:gridSpan w:val="7"/>
          </w:tcPr>
          <w:p w14:paraId="5D74F8F5" w14:textId="75374479" w:rsidR="00A40107" w:rsidRDefault="007D1393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و عملي</w:t>
            </w: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A40107" w14:paraId="6E569412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1E9C5431" w14:textId="776CC697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A40107" w14:paraId="3A25EFC6" w14:textId="77777777" w:rsidTr="00A65AB0">
        <w:trPr>
          <w:jc w:val="right"/>
        </w:trPr>
        <w:tc>
          <w:tcPr>
            <w:tcW w:w="10075" w:type="dxa"/>
            <w:gridSpan w:val="7"/>
          </w:tcPr>
          <w:p w14:paraId="0A7B6031" w14:textId="12D75048" w:rsidR="00A40107" w:rsidRDefault="00F54035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30</w:t>
            </w:r>
            <w:r w:rsidR="007D1393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ساعة نظري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&amp;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30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ساعة عملي</w:t>
            </w:r>
            <w:r w:rsidR="007D1393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 w:rsidR="007D1393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3</w:t>
            </w:r>
            <w:r w:rsidR="007D1393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وحدات</w:t>
            </w:r>
          </w:p>
        </w:tc>
      </w:tr>
      <w:tr w:rsidR="00A40107" w14:paraId="41C7840F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5C6C4CB4" w14:textId="0DE6B9DF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A40107" w14:paraId="1D056ECE" w14:textId="77777777" w:rsidTr="00A65AB0">
        <w:trPr>
          <w:jc w:val="right"/>
        </w:trPr>
        <w:tc>
          <w:tcPr>
            <w:tcW w:w="10075" w:type="dxa"/>
            <w:gridSpan w:val="7"/>
          </w:tcPr>
          <w:p w14:paraId="1E221828" w14:textId="08A75D06" w:rsidR="00A40107" w:rsidRPr="00E87F21" w:rsidRDefault="00E87F21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r w:rsidR="007D1393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</w:t>
            </w:r>
            <w:r w:rsidR="003F1DA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 مصطفى محمود صبري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 الايميل:</w:t>
            </w:r>
            <w:r w:rsidR="007D1393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="003F1DA2">
              <w:rPr>
                <w:rFonts w:ascii="Cambria" w:eastAsia="Cambria" w:hAnsi="Cambria"/>
                <w:color w:val="000000"/>
                <w:sz w:val="28"/>
                <w:szCs w:val="28"/>
              </w:rPr>
              <w:t>Mustafa.mahmood</w:t>
            </w:r>
            <w:proofErr w:type="spellEnd"/>
            <w:r w:rsidR="003F1DA2" w:rsidRPr="007D1393">
              <w:rPr>
                <w:rFonts w:ascii="Cambria" w:eastAsia="Cambria" w:hAnsi="Cambria"/>
                <w:color w:val="000000"/>
                <w:sz w:val="28"/>
                <w:szCs w:val="28"/>
              </w:rPr>
              <w:t xml:space="preserve"> </w:t>
            </w:r>
            <w:r w:rsidR="007D1393" w:rsidRPr="007D1393">
              <w:rPr>
                <w:rFonts w:ascii="Cambria" w:eastAsia="Cambria" w:hAnsi="Cambria"/>
                <w:color w:val="000000"/>
                <w:sz w:val="28"/>
                <w:szCs w:val="28"/>
              </w:rPr>
              <w:t>@uowa.edu.iq</w:t>
            </w:r>
          </w:p>
        </w:tc>
      </w:tr>
      <w:tr w:rsidR="00A40107" w14:paraId="5170BB72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7478981E" w14:textId="76A4A784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AC7558" w14:paraId="4C6BB4C2" w14:textId="77777777" w:rsidTr="00A65AB0">
        <w:trPr>
          <w:trHeight w:val="1211"/>
          <w:jc w:val="right"/>
        </w:trPr>
        <w:tc>
          <w:tcPr>
            <w:tcW w:w="4350" w:type="dxa"/>
            <w:gridSpan w:val="3"/>
          </w:tcPr>
          <w:p w14:paraId="6CD3EAB0" w14:textId="291DD61F" w:rsidR="00AC7558" w:rsidRPr="007D30FD" w:rsidRDefault="00AC7558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Theme="majorBidi" w:eastAsia="Simplified Arabic" w:hAnsiTheme="majorBidi" w:cstheme="majorBidi"/>
                <w:b/>
                <w:sz w:val="28"/>
                <w:szCs w:val="28"/>
              </w:rPr>
            </w:pPr>
            <w:r w:rsidRPr="007D30FD">
              <w:rPr>
                <w:rFonts w:asciiTheme="majorBidi" w:eastAsia="Simplified Arabic" w:hAnsiTheme="majorBidi" w:cstheme="majorBidi"/>
                <w:b/>
                <w:sz w:val="28"/>
                <w:szCs w:val="28"/>
                <w:rtl/>
              </w:rPr>
              <w:t xml:space="preserve">اهداف المادة الدراسية: </w:t>
            </w:r>
          </w:p>
        </w:tc>
        <w:tc>
          <w:tcPr>
            <w:tcW w:w="5725" w:type="dxa"/>
            <w:gridSpan w:val="4"/>
            <w:vAlign w:val="center"/>
          </w:tcPr>
          <w:p w14:paraId="6C6D8181" w14:textId="25EB8B7A" w:rsidR="00F54035" w:rsidRPr="00F54035" w:rsidRDefault="00F54035" w:rsidP="00F54035">
            <w:pPr>
              <w:pStyle w:val="ListParagraph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Bidi" w:hAnsiTheme="majorBidi"/>
                <w:sz w:val="28"/>
                <w:szCs w:val="28"/>
                <w:rtl/>
              </w:rPr>
            </w:pPr>
            <w:r w:rsidRPr="00F54035">
              <w:rPr>
                <w:rFonts w:asciiTheme="majorBidi" w:hAnsiTheme="majorBidi"/>
                <w:sz w:val="28"/>
                <w:szCs w:val="28"/>
                <w:rtl/>
              </w:rPr>
              <w:t>فهم بنية المعالجات الدقيقة: يجب أن يكتسب الطلاب معرفة شاملة ببنية المعالج الدقيق 8086، بما في ذلك واجهة الناقل ومجموعة التعليمات وتنظيم الذاكرة.</w:t>
            </w:r>
          </w:p>
          <w:p w14:paraId="400E2D45" w14:textId="374CCBFC" w:rsidR="00F54035" w:rsidRPr="00F54035" w:rsidRDefault="00F54035" w:rsidP="00F54035">
            <w:pPr>
              <w:pStyle w:val="ListParagraph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Bidi" w:hAnsiTheme="majorBidi"/>
                <w:sz w:val="28"/>
                <w:szCs w:val="28"/>
                <w:rtl/>
              </w:rPr>
            </w:pPr>
            <w:r w:rsidRPr="00F54035">
              <w:rPr>
                <w:rFonts w:asciiTheme="majorBidi" w:hAnsiTheme="majorBidi"/>
                <w:sz w:val="28"/>
                <w:szCs w:val="28"/>
                <w:rtl/>
              </w:rPr>
              <w:t>مهارات البرمجة: تطوير الكفاءة في برمجة لغة التجميع خصيصاً للمعالج الدقيق 8086.</w:t>
            </w:r>
          </w:p>
          <w:p w14:paraId="7AEB9032" w14:textId="2984023A" w:rsidR="00F54035" w:rsidRPr="00F54035" w:rsidRDefault="00F54035" w:rsidP="00F54035">
            <w:pPr>
              <w:pStyle w:val="ListParagraph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Bidi" w:hAnsiTheme="majorBidi"/>
                <w:sz w:val="28"/>
                <w:szCs w:val="28"/>
                <w:rtl/>
              </w:rPr>
            </w:pPr>
            <w:r w:rsidRPr="00F54035">
              <w:rPr>
                <w:rFonts w:asciiTheme="majorBidi" w:hAnsiTheme="majorBidi"/>
                <w:sz w:val="28"/>
                <w:szCs w:val="28"/>
                <w:rtl/>
              </w:rPr>
              <w:t>تقنيات التوصيل البيني: تعلم كيفية ربط المعالج الدقيق مع المكونات والأجهزة الإلكترونية الأخرى.</w:t>
            </w:r>
          </w:p>
          <w:p w14:paraId="3A07D017" w14:textId="71A818BC" w:rsidR="00F54035" w:rsidRPr="00F54035" w:rsidRDefault="00F54035" w:rsidP="00F54035">
            <w:pPr>
              <w:pStyle w:val="ListParagraph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Bidi" w:hAnsiTheme="majorBidi"/>
                <w:sz w:val="28"/>
                <w:szCs w:val="28"/>
                <w:rtl/>
              </w:rPr>
            </w:pPr>
            <w:r w:rsidRPr="00F54035">
              <w:rPr>
                <w:rFonts w:asciiTheme="majorBidi" w:hAnsiTheme="majorBidi"/>
                <w:sz w:val="28"/>
                <w:szCs w:val="28"/>
                <w:rtl/>
              </w:rPr>
              <w:t>حل المشكلات: تزويد الطلاب بالمهارات اللازمة لحل المشاكل العملية والنظرية باستخدام المعالج الدقيق 8086.</w:t>
            </w:r>
          </w:p>
          <w:p w14:paraId="18DF5FD2" w14:textId="58C6DAFF" w:rsidR="00AC7558" w:rsidRPr="00F54035" w:rsidRDefault="00F54035" w:rsidP="00F54035">
            <w:pPr>
              <w:pStyle w:val="ListParagraph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54035">
              <w:rPr>
                <w:rFonts w:asciiTheme="majorBidi" w:hAnsiTheme="majorBidi"/>
                <w:sz w:val="28"/>
                <w:szCs w:val="28"/>
                <w:rtl/>
              </w:rPr>
              <w:lastRenderedPageBreak/>
              <w:t>- التطبيق على الهندسة الطبية الحيوية: فهم تطبيق المعالجات الدقيقة في تصميم وتنفيذ الأجهزة والأنظمة الطبية.</w:t>
            </w:r>
          </w:p>
        </w:tc>
      </w:tr>
      <w:tr w:rsidR="00AC7558" w14:paraId="04A49005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5B025C87" w14:textId="54B0C6DE" w:rsidR="00AC7558" w:rsidRPr="007D30FD" w:rsidRDefault="00AC7558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7D30FD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استراتيجيات التعليم والتعلم</w:t>
            </w:r>
          </w:p>
        </w:tc>
      </w:tr>
      <w:tr w:rsidR="00AC7558" w14:paraId="1843D3BF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auto"/>
          </w:tcPr>
          <w:p w14:paraId="1675710F" w14:textId="77777777" w:rsidR="00F54035" w:rsidRPr="00F54035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1" w:hanging="3"/>
              <w:jc w:val="left"/>
              <w:rPr>
                <w:rFonts w:asciiTheme="majorBidi" w:eastAsia="Simplified Arabic" w:hAnsiTheme="majorBidi"/>
                <w:sz w:val="28"/>
                <w:szCs w:val="28"/>
              </w:rPr>
            </w:pPr>
            <w:r w:rsidRPr="00F54035">
              <w:rPr>
                <w:rFonts w:asciiTheme="majorBidi" w:eastAsia="Simplified Arabic" w:hAnsiTheme="majorBidi"/>
                <w:sz w:val="28"/>
                <w:szCs w:val="28"/>
                <w:rtl/>
              </w:rPr>
              <w:t>1. طرق التدريس</w:t>
            </w:r>
          </w:p>
          <w:p w14:paraId="327F0CD0" w14:textId="4837A3C4" w:rsidR="00F54035" w:rsidRPr="00F54035" w:rsidRDefault="00F54035" w:rsidP="00F540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/>
                <w:sz w:val="28"/>
                <w:szCs w:val="28"/>
              </w:rPr>
            </w:pPr>
            <w:r w:rsidRPr="00F54035">
              <w:rPr>
                <w:rFonts w:asciiTheme="majorBidi" w:eastAsia="Simplified Arabic" w:hAnsiTheme="majorBidi"/>
                <w:sz w:val="28"/>
                <w:szCs w:val="28"/>
                <w:rtl/>
              </w:rPr>
              <w:t>المحاضرات والعروض التوضيحية: استخدام المحاضرات لتغطية الجوانب النظرية والعروض التوضيحية الحية لإظهار التطبيقات العملية.</w:t>
            </w:r>
          </w:p>
          <w:p w14:paraId="4F1B6286" w14:textId="4C5AAF50" w:rsidR="00F54035" w:rsidRPr="00F54035" w:rsidRDefault="00F54035" w:rsidP="00F540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/>
                <w:sz w:val="28"/>
                <w:szCs w:val="28"/>
              </w:rPr>
            </w:pPr>
            <w:r w:rsidRPr="00F54035">
              <w:rPr>
                <w:rFonts w:asciiTheme="majorBidi" w:eastAsia="Simplified Arabic" w:hAnsiTheme="majorBidi"/>
                <w:sz w:val="28"/>
                <w:szCs w:val="28"/>
                <w:rtl/>
              </w:rPr>
              <w:t>جلسات تفاعلية: إشراك الطلاب في جلسات تفاعلية حيث يمكنهم استكشاف مكونات المعالجات الدقيقة ووظائفها من خلال المحاكاة الافتراضية.</w:t>
            </w:r>
          </w:p>
          <w:p w14:paraId="689F9C26" w14:textId="77777777" w:rsidR="00F54035" w:rsidRPr="00F54035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1" w:hanging="3"/>
              <w:jc w:val="left"/>
              <w:rPr>
                <w:rFonts w:asciiTheme="majorBidi" w:eastAsia="Simplified Arabic" w:hAnsiTheme="majorBidi"/>
                <w:sz w:val="28"/>
                <w:szCs w:val="28"/>
              </w:rPr>
            </w:pPr>
            <w:r w:rsidRPr="00F54035">
              <w:rPr>
                <w:rFonts w:asciiTheme="majorBidi" w:eastAsia="Simplified Arabic" w:hAnsiTheme="majorBidi"/>
                <w:sz w:val="28"/>
                <w:szCs w:val="28"/>
                <w:rtl/>
              </w:rPr>
              <w:t>2. الأنشطة التعليمية</w:t>
            </w:r>
          </w:p>
          <w:p w14:paraId="4E36461B" w14:textId="146F01EA" w:rsidR="00F54035" w:rsidRPr="00F54035" w:rsidRDefault="00F54035" w:rsidP="00F540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/>
                <w:sz w:val="28"/>
                <w:szCs w:val="28"/>
              </w:rPr>
            </w:pPr>
            <w:r w:rsidRPr="00F54035">
              <w:rPr>
                <w:rFonts w:asciiTheme="majorBidi" w:eastAsia="Simplified Arabic" w:hAnsiTheme="majorBidi"/>
                <w:sz w:val="28"/>
                <w:szCs w:val="28"/>
                <w:rtl/>
              </w:rPr>
              <w:t>العمل العملي في المختبر: قم بإعداد جلسات مختبرية حيث يمكن للطلاب العمل مع مجموعات المعالجات الدقيقة والإلكترونيات الأخرى لبناء واختبار أجهزة بسيطة.</w:t>
            </w:r>
          </w:p>
          <w:p w14:paraId="132C4DA8" w14:textId="19CBF7EA" w:rsidR="00F54035" w:rsidRPr="00F54035" w:rsidRDefault="00F54035" w:rsidP="00F540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/>
                <w:sz w:val="28"/>
                <w:szCs w:val="28"/>
              </w:rPr>
            </w:pPr>
            <w:r w:rsidRPr="00F54035">
              <w:rPr>
                <w:rFonts w:asciiTheme="majorBidi" w:eastAsia="Simplified Arabic" w:hAnsiTheme="majorBidi"/>
                <w:sz w:val="28"/>
                <w:szCs w:val="28"/>
                <w:rtl/>
              </w:rPr>
              <w:t>التعلّم القائم على المشاريع: تنفيذ المشاريع التي تنطوي على تصميم جهاز أو جزء من جهاز باستخدام المعالج الدقيق 8086، وتشجيع الإبداع والتطبيق العملي للمهارات المكتسبة.</w:t>
            </w:r>
          </w:p>
          <w:p w14:paraId="25ABE353" w14:textId="4562AFB8" w:rsidR="00F54035" w:rsidRPr="00F54035" w:rsidRDefault="00F54035" w:rsidP="00F540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/>
                <w:sz w:val="28"/>
                <w:szCs w:val="28"/>
              </w:rPr>
            </w:pPr>
            <w:r w:rsidRPr="00F54035">
              <w:rPr>
                <w:rFonts w:asciiTheme="majorBidi" w:eastAsia="Simplified Arabic" w:hAnsiTheme="majorBidi"/>
                <w:sz w:val="28"/>
                <w:szCs w:val="28"/>
                <w:rtl/>
              </w:rPr>
              <w:t>برامج المحاكاة: استخدام أدوات البرمجيات لمحاكاة وظائف المعالجات الدقيقة وتصميمات الدوائر لتعزيز الفهم دون الحاجة إلى المكونات المادية طوال الوقت.</w:t>
            </w:r>
          </w:p>
          <w:p w14:paraId="4E3CB0F5" w14:textId="77777777" w:rsidR="00F54035" w:rsidRPr="00F54035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1" w:hanging="3"/>
              <w:jc w:val="left"/>
              <w:rPr>
                <w:rFonts w:asciiTheme="majorBidi" w:eastAsia="Simplified Arabic" w:hAnsiTheme="majorBidi"/>
                <w:sz w:val="28"/>
                <w:szCs w:val="28"/>
              </w:rPr>
            </w:pPr>
            <w:r w:rsidRPr="00F54035">
              <w:rPr>
                <w:rFonts w:asciiTheme="majorBidi" w:eastAsia="Simplified Arabic" w:hAnsiTheme="majorBidi"/>
                <w:sz w:val="28"/>
                <w:szCs w:val="28"/>
                <w:rtl/>
              </w:rPr>
              <w:t>3. التحسين المستمر</w:t>
            </w:r>
          </w:p>
          <w:p w14:paraId="095D7DA0" w14:textId="15EA13B5" w:rsidR="00F54035" w:rsidRPr="00F54035" w:rsidRDefault="00F54035" w:rsidP="00F540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/>
                <w:sz w:val="28"/>
                <w:szCs w:val="28"/>
              </w:rPr>
            </w:pPr>
            <w:r w:rsidRPr="00F54035">
              <w:rPr>
                <w:rFonts w:asciiTheme="majorBidi" w:eastAsia="Simplified Arabic" w:hAnsiTheme="majorBidi"/>
                <w:sz w:val="28"/>
                <w:szCs w:val="28"/>
                <w:rtl/>
              </w:rPr>
              <w:t>آليات التغذية الراجعة: جمع التغذية الراجعة من الطلاب بانتظام لتحسين محتوى المقرر الدراسي وتقديمه، والتكيف مع البيئات التكنولوجية والتعليمية المتغيرة.</w:t>
            </w:r>
          </w:p>
          <w:p w14:paraId="62A915B3" w14:textId="2784B5A1" w:rsidR="00F54035" w:rsidRPr="00F54035" w:rsidRDefault="00F54035" w:rsidP="00F540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/>
                <w:sz w:val="28"/>
                <w:szCs w:val="28"/>
              </w:rPr>
            </w:pPr>
            <w:r w:rsidRPr="00F54035">
              <w:rPr>
                <w:rFonts w:asciiTheme="majorBidi" w:eastAsia="Simplified Arabic" w:hAnsiTheme="majorBidi"/>
                <w:sz w:val="28"/>
                <w:szCs w:val="28"/>
                <w:rtl/>
              </w:rPr>
              <w:t>التطوير المهني للمدرسين: يجب على المدرسين تحديث معارفهم واستراتيجيات التدريس باستمرار لمواكبة التطورات في تكنولوجيا المعالجات الدقيقة والتطبيقات الطبية الحيوية.</w:t>
            </w:r>
          </w:p>
          <w:p w14:paraId="629C618C" w14:textId="77777777" w:rsidR="00AC7558" w:rsidRDefault="00F54035" w:rsidP="00F540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/>
                <w:sz w:val="28"/>
                <w:szCs w:val="28"/>
              </w:rPr>
            </w:pPr>
            <w:r w:rsidRPr="00F54035">
              <w:rPr>
                <w:rFonts w:asciiTheme="majorBidi" w:eastAsia="Simplified Arabic" w:hAnsiTheme="majorBidi"/>
                <w:sz w:val="28"/>
                <w:szCs w:val="28"/>
                <w:rtl/>
              </w:rPr>
              <w:t>تحديث المناهج الدراسية: مراجعة المناهج الدراسية وتحديثها بانتظام لدمج أحدث التطورات في تكنولوجيا المعالجات الدقيقة وتطبيقاتها في الهندسة الطبية الحيوية.</w:t>
            </w:r>
          </w:p>
          <w:p w14:paraId="17C7209A" w14:textId="77777777" w:rsidR="00F54035" w:rsidRDefault="00F54035" w:rsidP="00F5403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Theme="majorBidi" w:eastAsia="Simplified Arabic" w:hAnsiTheme="majorBidi"/>
                <w:sz w:val="28"/>
                <w:szCs w:val="28"/>
                <w:rtl/>
              </w:rPr>
            </w:pPr>
          </w:p>
          <w:p w14:paraId="57C347B2" w14:textId="77777777" w:rsidR="00F54035" w:rsidRDefault="00F54035" w:rsidP="00F5403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Theme="majorBidi" w:eastAsia="Simplified Arabic" w:hAnsiTheme="majorBidi"/>
                <w:sz w:val="28"/>
                <w:szCs w:val="28"/>
                <w:rtl/>
              </w:rPr>
            </w:pPr>
          </w:p>
          <w:p w14:paraId="6299597B" w14:textId="77777777" w:rsidR="00F54035" w:rsidRDefault="00F54035" w:rsidP="00F5403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Theme="majorBidi" w:eastAsia="Simplified Arabic" w:hAnsiTheme="majorBidi"/>
                <w:sz w:val="28"/>
                <w:szCs w:val="28"/>
                <w:rtl/>
              </w:rPr>
            </w:pPr>
          </w:p>
          <w:p w14:paraId="27A231CB" w14:textId="77777777" w:rsidR="00F54035" w:rsidRDefault="00F54035" w:rsidP="00F5403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Theme="majorBidi" w:eastAsia="Simplified Arabic" w:hAnsiTheme="majorBidi"/>
                <w:sz w:val="28"/>
                <w:szCs w:val="28"/>
                <w:rtl/>
              </w:rPr>
            </w:pPr>
          </w:p>
          <w:p w14:paraId="50CA1FBC" w14:textId="77777777" w:rsidR="00F54035" w:rsidRDefault="00F54035" w:rsidP="00F5403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Theme="majorBidi" w:eastAsia="Simplified Arabic" w:hAnsiTheme="majorBidi"/>
                <w:sz w:val="28"/>
                <w:szCs w:val="28"/>
                <w:rtl/>
              </w:rPr>
            </w:pPr>
          </w:p>
          <w:p w14:paraId="58169986" w14:textId="77777777" w:rsidR="00F54035" w:rsidRDefault="00F54035" w:rsidP="00F5403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Theme="majorBidi" w:eastAsia="Simplified Arabic" w:hAnsiTheme="majorBidi"/>
                <w:sz w:val="28"/>
                <w:szCs w:val="28"/>
                <w:rtl/>
              </w:rPr>
            </w:pPr>
          </w:p>
          <w:p w14:paraId="5B96BA89" w14:textId="77777777" w:rsidR="00F54035" w:rsidRDefault="00F54035" w:rsidP="00F5403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Theme="majorBidi" w:eastAsia="Simplified Arabic" w:hAnsiTheme="majorBidi"/>
                <w:sz w:val="28"/>
                <w:szCs w:val="28"/>
                <w:rtl/>
              </w:rPr>
            </w:pPr>
          </w:p>
          <w:p w14:paraId="6365618C" w14:textId="77777777" w:rsidR="00F54035" w:rsidRDefault="00F54035" w:rsidP="00F5403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Theme="majorBidi" w:eastAsia="Simplified Arabic" w:hAnsiTheme="majorBidi"/>
                <w:sz w:val="28"/>
                <w:szCs w:val="28"/>
                <w:rtl/>
              </w:rPr>
            </w:pPr>
          </w:p>
          <w:p w14:paraId="3F6782F5" w14:textId="77777777" w:rsidR="00F54035" w:rsidRDefault="00F54035" w:rsidP="00F5403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Theme="majorBidi" w:eastAsia="Simplified Arabic" w:hAnsiTheme="majorBidi"/>
                <w:sz w:val="28"/>
                <w:szCs w:val="28"/>
                <w:rtl/>
              </w:rPr>
            </w:pPr>
          </w:p>
          <w:p w14:paraId="07522337" w14:textId="77777777" w:rsidR="00F54035" w:rsidRDefault="00F54035" w:rsidP="00F5403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Theme="majorBidi" w:eastAsia="Simplified Arabic" w:hAnsiTheme="majorBidi"/>
                <w:sz w:val="28"/>
                <w:szCs w:val="28"/>
                <w:rtl/>
              </w:rPr>
            </w:pPr>
          </w:p>
          <w:p w14:paraId="7A292A2C" w14:textId="0117C0F5" w:rsidR="00F54035" w:rsidRPr="00F54035" w:rsidRDefault="00F54035" w:rsidP="00F5403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Theme="majorBidi" w:eastAsia="Simplified Arabic" w:hAnsiTheme="majorBidi"/>
                <w:sz w:val="28"/>
                <w:szCs w:val="28"/>
                <w:rtl/>
              </w:rPr>
            </w:pPr>
          </w:p>
        </w:tc>
      </w:tr>
      <w:tr w:rsidR="00AC7558" w14:paraId="0F556496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49B3BC8E" w14:textId="4BE3F910" w:rsidR="00AC7558" w:rsidRDefault="00AC7558" w:rsidP="003F1DA2">
            <w:pPr>
              <w:numPr>
                <w:ilvl w:val="0"/>
                <w:numId w:val="3"/>
              </w:num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بنية المقرر</w:t>
            </w:r>
          </w:p>
        </w:tc>
      </w:tr>
      <w:tr w:rsidR="00AC7558" w14:paraId="0AFD1580" w14:textId="77777777" w:rsidTr="00A65AB0">
        <w:trPr>
          <w:trHeight w:val="182"/>
          <w:jc w:val="right"/>
        </w:trPr>
        <w:tc>
          <w:tcPr>
            <w:tcW w:w="895" w:type="dxa"/>
            <w:shd w:val="clear" w:color="auto" w:fill="BDD6EE"/>
          </w:tcPr>
          <w:p w14:paraId="5A008F87" w14:textId="58E7C10F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3060" w:type="dxa"/>
            <w:shd w:val="clear" w:color="auto" w:fill="BDD6EE"/>
          </w:tcPr>
          <w:p w14:paraId="628F215B" w14:textId="7734A1F4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800" w:type="dxa"/>
            <w:gridSpan w:val="2"/>
            <w:shd w:val="clear" w:color="auto" w:fill="BDD6EE"/>
          </w:tcPr>
          <w:p w14:paraId="27FF8ECE" w14:textId="7758BE84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800" w:type="dxa"/>
            <w:shd w:val="clear" w:color="auto" w:fill="BDD6EE"/>
          </w:tcPr>
          <w:p w14:paraId="12163A26" w14:textId="1A357EAB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990" w:type="dxa"/>
            <w:shd w:val="clear" w:color="auto" w:fill="BDD6EE"/>
          </w:tcPr>
          <w:p w14:paraId="79C177F4" w14:textId="4D8C4B67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530" w:type="dxa"/>
            <w:shd w:val="clear" w:color="auto" w:fill="BDD6EE"/>
          </w:tcPr>
          <w:p w14:paraId="0E23B5AB" w14:textId="76203B35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731" w:type="pct"/>
        <w:tblInd w:w="-1250" w:type="dxa"/>
        <w:tblLook w:val="0000" w:firstRow="0" w:lastRow="0" w:firstColumn="0" w:lastColumn="0" w:noHBand="0" w:noVBand="0"/>
      </w:tblPr>
      <w:tblGrid>
        <w:gridCol w:w="463"/>
        <w:gridCol w:w="3077"/>
        <w:gridCol w:w="1726"/>
        <w:gridCol w:w="2263"/>
        <w:gridCol w:w="1006"/>
        <w:gridCol w:w="1364"/>
      </w:tblGrid>
      <w:tr w:rsidR="00A65AB0" w:rsidRPr="000674C0" w14:paraId="1596B45E" w14:textId="77777777" w:rsidTr="00F54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4C09B304" w14:textId="7F6D65F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54" w:type="pct"/>
            <w:vAlign w:val="center"/>
          </w:tcPr>
          <w:p w14:paraId="2B25830F" w14:textId="41DFAD7E" w:rsidR="00A65AB0" w:rsidRPr="007D30FD" w:rsidRDefault="00F54035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A65AB0"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A65AB0"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439D13A3" w14:textId="38879764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التعرف على مباد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ئ</w:t>
            </w:r>
          </w:p>
          <w:p w14:paraId="5921B1C9" w14:textId="4C7132B8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</w:t>
            </w:r>
            <w:r w:rsidR="00F54035">
              <w:rPr>
                <w:rFonts w:ascii="Cambria" w:hAnsi="Cambria" w:hint="cs"/>
                <w:color w:val="000000"/>
                <w:rtl/>
                <w:lang w:bidi="ar-IQ"/>
              </w:rPr>
              <w:t>لمعالج الدقيق والكومبيوتر</w:t>
            </w:r>
          </w:p>
        </w:tc>
        <w:tc>
          <w:tcPr>
            <w:tcW w:w="1143" w:type="pct"/>
            <w:vAlign w:val="center"/>
          </w:tcPr>
          <w:p w14:paraId="7CAE55F7" w14:textId="28785F1F" w:rsidR="00A65AB0" w:rsidRPr="007D30FD" w:rsidRDefault="00F54035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54035">
              <w:rPr>
                <w:rFonts w:asciiTheme="majorBidi" w:hAnsiTheme="majorBidi" w:cstheme="majorBidi"/>
              </w:rPr>
              <w:t>Introduction to the microprocessor and computer &amp; microprocessor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4724DECA" w14:textId="2378ACE3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6C83C12C" w14:textId="678D482B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F54035" w:rsidRPr="000674C0" w14:paraId="211D2649" w14:textId="77777777" w:rsidTr="00F54035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51922588" w14:textId="22EDD0F5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4" w:type="pct"/>
            <w:vAlign w:val="center"/>
          </w:tcPr>
          <w:p w14:paraId="6EB6B2C3" w14:textId="269300AC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7BB79377" w14:textId="77777777" w:rsidR="00F54035" w:rsidRPr="003F1DA2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التعرف على مباد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ئ</w:t>
            </w:r>
          </w:p>
          <w:p w14:paraId="71F4D34E" w14:textId="4CA123DB" w:rsidR="00F54035" w:rsidRPr="007D30FD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لمعالج الدقيق والكومبيوتر</w:t>
            </w:r>
          </w:p>
        </w:tc>
        <w:tc>
          <w:tcPr>
            <w:tcW w:w="1143" w:type="pct"/>
            <w:vAlign w:val="center"/>
          </w:tcPr>
          <w:p w14:paraId="585B49E6" w14:textId="07F7CA49" w:rsidR="00F54035" w:rsidRPr="007D30FD" w:rsidRDefault="00F54035" w:rsidP="00F54035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54035">
              <w:rPr>
                <w:rFonts w:asciiTheme="majorBidi" w:hAnsiTheme="majorBidi" w:cstheme="majorBidi"/>
              </w:rPr>
              <w:t>Introduction to the microprocessor and computer &amp; microprocessor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412EF26B" w14:textId="06C4D316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4116C1FF" w14:textId="47E297DB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F54035" w:rsidRPr="000674C0" w14:paraId="3A1D8D2A" w14:textId="77777777" w:rsidTr="00F54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76527F68" w14:textId="18761635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54" w:type="pct"/>
            <w:vAlign w:val="center"/>
          </w:tcPr>
          <w:p w14:paraId="55EE9E29" w14:textId="316E3D4C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3E365B98" w14:textId="35090104" w:rsidR="00F54035" w:rsidRPr="007D30FD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التعرف علي معمارية المعالج الدقيق 8086</w:t>
            </w:r>
          </w:p>
        </w:tc>
        <w:tc>
          <w:tcPr>
            <w:tcW w:w="1143" w:type="pct"/>
          </w:tcPr>
          <w:p w14:paraId="36065224" w14:textId="77777777" w:rsidR="00F54035" w:rsidRPr="001D4445" w:rsidRDefault="00F54035" w:rsidP="00F54035">
            <w:pPr>
              <w:spacing w:line="276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Micro-architecture of the 8086 Microprocessor: Introduction to Microarchitecture of the 8086Microprocessor. and Software Model of the</w:t>
            </w:r>
          </w:p>
          <w:p w14:paraId="4664A1BF" w14:textId="2B89F5F6" w:rsidR="00F54035" w:rsidRPr="007D30FD" w:rsidRDefault="00F54035" w:rsidP="00F54035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8086 Microprocessor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1D9DF9D3" w14:textId="3FD471B6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5085DA89" w14:textId="541B3B57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F54035" w:rsidRPr="000674C0" w14:paraId="4685601D" w14:textId="77777777" w:rsidTr="00F54035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1ABD6478" w14:textId="053EA282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54" w:type="pct"/>
            <w:vAlign w:val="center"/>
          </w:tcPr>
          <w:p w14:paraId="6EC40BC2" w14:textId="19D54A69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72040C35" w14:textId="20A8B6ED" w:rsidR="00F54035" w:rsidRPr="007D30FD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التعرف علي معمارية المعالج الدقيق 8086</w:t>
            </w:r>
          </w:p>
        </w:tc>
        <w:tc>
          <w:tcPr>
            <w:tcW w:w="1143" w:type="pct"/>
          </w:tcPr>
          <w:p w14:paraId="5621F01E" w14:textId="77777777" w:rsidR="00F54035" w:rsidRPr="001D4445" w:rsidRDefault="00F54035" w:rsidP="00F54035">
            <w:pPr>
              <w:spacing w:line="276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Micro-architecture of the 8086 Microprocessor: Introduction to Microarchitecture of the 8086Microprocessor. and Software Model of the</w:t>
            </w:r>
          </w:p>
          <w:p w14:paraId="20553B7A" w14:textId="6F058823" w:rsidR="00F54035" w:rsidRPr="007D30FD" w:rsidRDefault="00F54035" w:rsidP="00F54035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8086 Microprocessor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00D7724B" w14:textId="435C1C91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644858D9" w14:textId="3FC0ADDC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F54035" w:rsidRPr="000674C0" w14:paraId="2F09A1AA" w14:textId="77777777" w:rsidTr="0072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05C51154" w14:textId="4EED11FE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54" w:type="pct"/>
            <w:vAlign w:val="center"/>
          </w:tcPr>
          <w:p w14:paraId="7436805B" w14:textId="769B9F35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69E70FC7" w14:textId="6A339CF3" w:rsidR="00F54035" w:rsidRPr="007D30FD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التعرف على العمليات داخل المعالج ولغة التجميع</w:t>
            </w:r>
          </w:p>
        </w:tc>
        <w:tc>
          <w:tcPr>
            <w:tcW w:w="1143" w:type="pct"/>
          </w:tcPr>
          <w:p w14:paraId="68E73546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microprocessors architecture and its operations</w:t>
            </w:r>
          </w:p>
          <w:p w14:paraId="08F3BCB0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CPU machine and assembly language</w:t>
            </w:r>
          </w:p>
          <w:p w14:paraId="099A61E4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Addressing Modes: </w:t>
            </w:r>
          </w:p>
          <w:p w14:paraId="02AA12EA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Register, immediate,</w:t>
            </w:r>
          </w:p>
          <w:p w14:paraId="51A45F7E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direct, register indirect,</w:t>
            </w:r>
          </w:p>
          <w:p w14:paraId="29F03F5E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based-plus-index, register</w:t>
            </w:r>
          </w:p>
          <w:p w14:paraId="00BBB46C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relative, and base relative plus-</w:t>
            </w:r>
          </w:p>
          <w:p w14:paraId="605534B6" w14:textId="3C053A59" w:rsidR="00F54035" w:rsidRPr="007D30FD" w:rsidRDefault="00F54035" w:rsidP="00F54035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index addressing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3FD407C7" w14:textId="7A351B95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lastRenderedPageBreak/>
              <w:t>نظري + عملي</w:t>
            </w:r>
          </w:p>
        </w:tc>
        <w:tc>
          <w:tcPr>
            <w:tcW w:w="689" w:type="pct"/>
            <w:vAlign w:val="center"/>
          </w:tcPr>
          <w:p w14:paraId="443B3915" w14:textId="62700B81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F54035" w:rsidRPr="000674C0" w14:paraId="1011576D" w14:textId="77777777" w:rsidTr="000F2440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1F8BB1BB" w14:textId="77D82306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54" w:type="pct"/>
            <w:vAlign w:val="center"/>
          </w:tcPr>
          <w:p w14:paraId="4D2E0489" w14:textId="779EECCE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2 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7970DF0C" w14:textId="1F62CF5C" w:rsidR="00F54035" w:rsidRPr="007D30FD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التعرف على العمليات داخل المعالج ولغة التجميع</w:t>
            </w:r>
          </w:p>
        </w:tc>
        <w:tc>
          <w:tcPr>
            <w:tcW w:w="1143" w:type="pct"/>
          </w:tcPr>
          <w:p w14:paraId="3819ADFE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microprocessors architecture and its operations</w:t>
            </w:r>
          </w:p>
          <w:p w14:paraId="4C34ACB5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CPU machine and assembly language</w:t>
            </w:r>
          </w:p>
          <w:p w14:paraId="1BD287E1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Addressing Modes: </w:t>
            </w:r>
          </w:p>
          <w:p w14:paraId="76B37A55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Register, immediate,</w:t>
            </w:r>
          </w:p>
          <w:p w14:paraId="5E69068A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direct, register indirect,</w:t>
            </w:r>
          </w:p>
          <w:p w14:paraId="7E2CB91E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based-plus-index, register</w:t>
            </w:r>
          </w:p>
          <w:p w14:paraId="14C69DB3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relative, and base relative plus-</w:t>
            </w:r>
          </w:p>
          <w:p w14:paraId="7A29C30C" w14:textId="229CA1CA" w:rsidR="00F54035" w:rsidRPr="007D30FD" w:rsidRDefault="00F54035" w:rsidP="00F54035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index addressing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2F2C8E95" w14:textId="70B92307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5B66C145" w14:textId="0981B1B1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F54035" w:rsidRPr="000674C0" w14:paraId="5B2FD28A" w14:textId="77777777" w:rsidTr="0052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04539E88" w14:textId="39C490A5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4" w:type="pct"/>
            <w:vAlign w:val="center"/>
          </w:tcPr>
          <w:p w14:paraId="16F58826" w14:textId="448AB510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6474CAE1" w14:textId="09963A2C" w:rsidR="00F54035" w:rsidRPr="007D30FD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التعرف على العمليات داخل المعالج ولغة التجميع</w:t>
            </w:r>
          </w:p>
        </w:tc>
        <w:tc>
          <w:tcPr>
            <w:tcW w:w="1143" w:type="pct"/>
          </w:tcPr>
          <w:p w14:paraId="3A786FA3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microprocessors architecture and its operations</w:t>
            </w:r>
          </w:p>
          <w:p w14:paraId="395F87B2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CPU machine and assembly language</w:t>
            </w:r>
          </w:p>
          <w:p w14:paraId="20E59C72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Addressing Modes: </w:t>
            </w:r>
          </w:p>
          <w:p w14:paraId="23AF80A8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Register, immediate,</w:t>
            </w:r>
          </w:p>
          <w:p w14:paraId="1EE76C33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direct, register indirect,</w:t>
            </w:r>
          </w:p>
          <w:p w14:paraId="2F2E98BA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based-plus-index, register</w:t>
            </w:r>
          </w:p>
          <w:p w14:paraId="29A5D3E4" w14:textId="77777777" w:rsidR="00F54035" w:rsidRPr="001D4445" w:rsidRDefault="00F54035" w:rsidP="00F54035">
            <w:pPr>
              <w:spacing w:line="276" w:lineRule="auto"/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relative, and base relative plus-</w:t>
            </w:r>
          </w:p>
          <w:p w14:paraId="6F9818F7" w14:textId="59BE8DC5" w:rsidR="00F54035" w:rsidRPr="007D30FD" w:rsidRDefault="00F54035" w:rsidP="00F54035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index addressing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3902A5E8" w14:textId="2194D71C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35A37798" w14:textId="660D231D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F54035" w:rsidRPr="000674C0" w14:paraId="4B81F246" w14:textId="77777777" w:rsidTr="00C02261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54ACED8B" w14:textId="44EDE055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4" w:type="pct"/>
            <w:vAlign w:val="center"/>
          </w:tcPr>
          <w:p w14:paraId="0921DF8A" w14:textId="745F71AF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73897624" w14:textId="201D6FE8" w:rsidR="00F54035" w:rsidRPr="007D30FD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54035">
              <w:rPr>
                <w:rFonts w:ascii="Cambria" w:hAnsi="Cambria"/>
                <w:color w:val="000000"/>
                <w:rtl/>
                <w:lang w:bidi="ar-IQ"/>
              </w:rPr>
              <w:t>مجموعة التعليمات والبرمجة: تعليمات حركة البيانات</w:t>
            </w:r>
          </w:p>
        </w:tc>
        <w:tc>
          <w:tcPr>
            <w:tcW w:w="1143" w:type="pct"/>
          </w:tcPr>
          <w:p w14:paraId="7B862814" w14:textId="0E97645E" w:rsidR="00F54035" w:rsidRPr="007D30FD" w:rsidRDefault="00F54035" w:rsidP="00F54035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Instruction Set and Programming: Data Movement Instructions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64BC81C5" w14:textId="0CF79DF6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2ECB622C" w14:textId="1273AFA6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F54035" w:rsidRPr="000674C0" w14:paraId="65E2CBE1" w14:textId="77777777" w:rsidTr="00BC6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53383B6C" w14:textId="74C40746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lastRenderedPageBreak/>
              <w:t>9</w:t>
            </w:r>
          </w:p>
        </w:tc>
        <w:tc>
          <w:tcPr>
            <w:tcW w:w="1554" w:type="pct"/>
            <w:vAlign w:val="center"/>
          </w:tcPr>
          <w:p w14:paraId="2F4C8FD4" w14:textId="6F7C4F31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27367994" w14:textId="0A8DA6AF" w:rsidR="00F54035" w:rsidRPr="007D30FD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54035">
              <w:rPr>
                <w:rFonts w:ascii="Cambria" w:hAnsi="Cambria"/>
                <w:color w:val="000000"/>
                <w:rtl/>
                <w:lang w:bidi="ar-IQ"/>
              </w:rPr>
              <w:t>مجموعة التعليمات والبرمجة: تعليمات حركة البيانات</w:t>
            </w:r>
          </w:p>
        </w:tc>
        <w:tc>
          <w:tcPr>
            <w:tcW w:w="1143" w:type="pct"/>
          </w:tcPr>
          <w:p w14:paraId="6FE2FA21" w14:textId="6EA895D1" w:rsidR="00F54035" w:rsidRPr="007D30FD" w:rsidRDefault="00F54035" w:rsidP="00F54035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Instruction Set and Programming: Data Movement Instructions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71A2BC3F" w14:textId="236FA06C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0B1CAB42" w14:textId="0C6A0FC0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F54035" w:rsidRPr="000674C0" w14:paraId="43A08AD2" w14:textId="77777777" w:rsidTr="006A0699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48B46CD3" w14:textId="0EE88542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554" w:type="pct"/>
            <w:vAlign w:val="center"/>
          </w:tcPr>
          <w:p w14:paraId="4CBFBEAE" w14:textId="355163D7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7632EF99" w14:textId="30D117D6" w:rsidR="00E07215" w:rsidRPr="00E07215" w:rsidRDefault="00E07215" w:rsidP="00E0721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 w:hint="cs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مجموعة تعليمات السترنك</w:t>
            </w:r>
          </w:p>
          <w:p w14:paraId="730305DB" w14:textId="4893254B" w:rsidR="00F54035" w:rsidRPr="007D30FD" w:rsidRDefault="00F54035" w:rsidP="00F5403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43" w:type="pct"/>
          </w:tcPr>
          <w:p w14:paraId="56048AEF" w14:textId="36F57ACA" w:rsidR="00F54035" w:rsidRPr="007D30FD" w:rsidRDefault="00F54035" w:rsidP="00F54035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string Instructions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0752CDB7" w14:textId="2D0A217E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0EAAA59F" w14:textId="78B39937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29137102" w14:textId="77777777" w:rsidTr="00F54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6C0FA728" w14:textId="66B5195A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554" w:type="pct"/>
            <w:vAlign w:val="center"/>
          </w:tcPr>
          <w:p w14:paraId="2F8CA8C3" w14:textId="78E9368B" w:rsidR="00A65AB0" w:rsidRPr="007D30FD" w:rsidRDefault="00F54035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A65AB0"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423304CD" w14:textId="1235FF55" w:rsidR="00A65AB0" w:rsidRPr="007D30FD" w:rsidRDefault="00E07215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مجموعة </w:t>
            </w:r>
            <w:r w:rsidRPr="00E07215">
              <w:rPr>
                <w:rFonts w:ascii="Cambria" w:hAnsi="Cambria"/>
                <w:color w:val="000000"/>
                <w:rtl/>
                <w:lang w:bidi="ar-IQ"/>
              </w:rPr>
              <w:t>التعليمات الحسابية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 الرياضية</w:t>
            </w:r>
          </w:p>
        </w:tc>
        <w:tc>
          <w:tcPr>
            <w:tcW w:w="1143" w:type="pct"/>
            <w:vAlign w:val="center"/>
          </w:tcPr>
          <w:p w14:paraId="3A4BFCA6" w14:textId="25B7DF82" w:rsidR="00A65AB0" w:rsidRPr="007D30FD" w:rsidRDefault="00F54035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rithmeti</w:t>
            </w: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c Instructions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10282D6C" w14:textId="5D73B5A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706335CA" w14:textId="3B0CC9D2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E07215" w:rsidRPr="000674C0" w14:paraId="360EA16E" w14:textId="77777777" w:rsidTr="00F54035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394D8721" w14:textId="608E59B7" w:rsidR="00E07215" w:rsidRPr="007D30FD" w:rsidRDefault="00E07215" w:rsidP="00E0721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554" w:type="pct"/>
            <w:vAlign w:val="center"/>
          </w:tcPr>
          <w:p w14:paraId="6E45DB9F" w14:textId="60480131" w:rsidR="00E07215" w:rsidRPr="007D30FD" w:rsidRDefault="00E07215" w:rsidP="00E0721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09074C6A" w14:textId="0B48F7A4" w:rsidR="00E07215" w:rsidRPr="007D30FD" w:rsidRDefault="00E07215" w:rsidP="00E0721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مجموعة </w:t>
            </w:r>
            <w:r w:rsidRPr="00E07215">
              <w:rPr>
                <w:rFonts w:ascii="Cambria" w:hAnsi="Cambria"/>
                <w:color w:val="000000"/>
                <w:rtl/>
                <w:lang w:bidi="ar-IQ"/>
              </w:rPr>
              <w:t>التعليمات الحسابية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 الرياضية</w:t>
            </w:r>
          </w:p>
        </w:tc>
        <w:tc>
          <w:tcPr>
            <w:tcW w:w="1143" w:type="pct"/>
            <w:vAlign w:val="center"/>
          </w:tcPr>
          <w:p w14:paraId="780B367A" w14:textId="2D3C9436" w:rsidR="00E07215" w:rsidRPr="007D30FD" w:rsidRDefault="00E07215" w:rsidP="00E07215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rithmeti</w:t>
            </w: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c Instructions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6135DA75" w14:textId="74A74451" w:rsidR="00E07215" w:rsidRPr="007D30FD" w:rsidRDefault="00E07215" w:rsidP="00E0721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6A0AA952" w14:textId="4FF4DF1F" w:rsidR="00E07215" w:rsidRPr="007D30FD" w:rsidRDefault="00E07215" w:rsidP="00E0721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42AA73A7" w14:textId="77777777" w:rsidTr="00F54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57060076" w14:textId="46B34F9E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554" w:type="pct"/>
            <w:vAlign w:val="center"/>
          </w:tcPr>
          <w:p w14:paraId="1C4C83D7" w14:textId="73098419" w:rsidR="00A65AB0" w:rsidRPr="007D30FD" w:rsidRDefault="00F54035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A65AB0"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3E6A81D5" w14:textId="4E50FA4D" w:rsidR="00A65AB0" w:rsidRPr="007D30FD" w:rsidRDefault="00E07215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مجموعة التعليمات المنطقية</w:t>
            </w:r>
          </w:p>
        </w:tc>
        <w:tc>
          <w:tcPr>
            <w:tcW w:w="1143" w:type="pct"/>
            <w:vAlign w:val="center"/>
          </w:tcPr>
          <w:p w14:paraId="1703A119" w14:textId="6287F95A" w:rsidR="00A65AB0" w:rsidRPr="007D30FD" w:rsidRDefault="00F54035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Logic Instructions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0147F1F6" w14:textId="0020804F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401A0E7C" w14:textId="79E6F43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E07215" w:rsidRPr="000674C0" w14:paraId="409E322A" w14:textId="77777777" w:rsidTr="00320F36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25AFD415" w14:textId="3924E076" w:rsidR="00E07215" w:rsidRPr="007D30FD" w:rsidRDefault="00E07215" w:rsidP="00E0721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554" w:type="pct"/>
            <w:vAlign w:val="center"/>
          </w:tcPr>
          <w:p w14:paraId="6567E02D" w14:textId="40123919" w:rsidR="00E07215" w:rsidRPr="007D30FD" w:rsidRDefault="00E07215" w:rsidP="00E0721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5D10012D" w14:textId="290ADA62" w:rsidR="00E07215" w:rsidRPr="007D30FD" w:rsidRDefault="00E07215" w:rsidP="00E0721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مجموعة </w:t>
            </w:r>
            <w:r w:rsidRPr="00E07215">
              <w:rPr>
                <w:rFonts w:ascii="Cambria" w:hAnsi="Cambria"/>
                <w:color w:val="000000"/>
                <w:rtl/>
                <w:lang w:bidi="ar-IQ"/>
              </w:rPr>
              <w:t>تعليمات التحكم في البرنامج</w:t>
            </w:r>
          </w:p>
        </w:tc>
        <w:tc>
          <w:tcPr>
            <w:tcW w:w="1143" w:type="pct"/>
          </w:tcPr>
          <w:p w14:paraId="4A0A0B97" w14:textId="440B0C76" w:rsidR="00E07215" w:rsidRPr="007D30FD" w:rsidRDefault="00E07215" w:rsidP="00E07215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Program control Instructions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7E6B7D70" w14:textId="2C33F7EA" w:rsidR="00E07215" w:rsidRPr="007D30FD" w:rsidRDefault="00E07215" w:rsidP="00E0721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7CB82CDE" w14:textId="60BA9FB3" w:rsidR="00E07215" w:rsidRPr="007D30FD" w:rsidRDefault="00E07215" w:rsidP="00E0721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F54035" w:rsidRPr="000674C0" w14:paraId="5C1A84AD" w14:textId="77777777" w:rsidTr="00094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" w:type="pct"/>
            <w:vAlign w:val="center"/>
          </w:tcPr>
          <w:p w14:paraId="1482DC77" w14:textId="33FCE25A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554" w:type="pct"/>
            <w:vAlign w:val="center"/>
          </w:tcPr>
          <w:p w14:paraId="7B508C01" w14:textId="31533B16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vAlign w:val="center"/>
          </w:tcPr>
          <w:p w14:paraId="5C180D34" w14:textId="19E50BAD" w:rsidR="00F54035" w:rsidRPr="007D30FD" w:rsidRDefault="00E07215" w:rsidP="00F54035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مجموعة تعليمات </w:t>
            </w:r>
            <w:r w:rsidRPr="00E07215">
              <w:rPr>
                <w:rFonts w:ascii="Cambria" w:hAnsi="Cambria"/>
                <w:color w:val="000000"/>
                <w:rtl/>
                <w:lang w:bidi="ar-IQ"/>
              </w:rPr>
              <w:t>الروتين الفرعي والتكرار والتبديل والتدوير</w:t>
            </w:r>
          </w:p>
        </w:tc>
        <w:tc>
          <w:tcPr>
            <w:tcW w:w="1143" w:type="pct"/>
          </w:tcPr>
          <w:p w14:paraId="21BF740F" w14:textId="447BA947" w:rsidR="00F54035" w:rsidRPr="007D30FD" w:rsidRDefault="00F54035" w:rsidP="00F54035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Subroutine and loop &amp; shift and rotate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48D43A11" w14:textId="728D921B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689" w:type="pct"/>
            <w:vAlign w:val="center"/>
          </w:tcPr>
          <w:p w14:paraId="10C4771E" w14:textId="3C2B0E38" w:rsidR="00F54035" w:rsidRPr="007D30FD" w:rsidRDefault="00F54035" w:rsidP="00F54035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</w:tbl>
    <w:tbl>
      <w:tblPr>
        <w:tblStyle w:val="af0"/>
        <w:bidiVisual/>
        <w:tblW w:w="98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4770"/>
      </w:tblGrid>
      <w:tr w:rsidR="0074133A" w14:paraId="67D241C7" w14:textId="77777777" w:rsidTr="0074133A">
        <w:trPr>
          <w:jc w:val="right"/>
        </w:trPr>
        <w:tc>
          <w:tcPr>
            <w:tcW w:w="9895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74133A">
        <w:trPr>
          <w:jc w:val="right"/>
        </w:trPr>
        <w:tc>
          <w:tcPr>
            <w:tcW w:w="9895" w:type="dxa"/>
            <w:gridSpan w:val="2"/>
          </w:tcPr>
          <w:p w14:paraId="533B32E4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اسبوعية </w:t>
            </w:r>
          </w:p>
          <w:p w14:paraId="211C44FF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شهرية</w:t>
            </w:r>
          </w:p>
          <w:p w14:paraId="69A79640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مشاركات داخل القاعة الدراسية </w:t>
            </w:r>
          </w:p>
          <w:p w14:paraId="2BBC701A" w14:textId="77777777" w:rsidR="00212A56" w:rsidRPr="00AC7558" w:rsidRDefault="00212A56" w:rsidP="008C1FDD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12A56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القاء السمنرات</w:t>
            </w:r>
          </w:p>
          <w:p w14:paraId="0832556D" w14:textId="2EC7166B" w:rsidR="00AC7558" w:rsidRPr="008C1FDD" w:rsidRDefault="00AC7558" w:rsidP="008C1FDD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كتابة التقارير</w:t>
            </w:r>
          </w:p>
        </w:tc>
      </w:tr>
      <w:tr w:rsidR="0074133A" w14:paraId="44349A85" w14:textId="77777777" w:rsidTr="0074133A">
        <w:trPr>
          <w:jc w:val="right"/>
        </w:trPr>
        <w:tc>
          <w:tcPr>
            <w:tcW w:w="9895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A27938" w:rsidRPr="00BB1D3D" w14:paraId="23AC7296" w14:textId="77777777" w:rsidTr="002F76E5">
        <w:trPr>
          <w:jc w:val="right"/>
        </w:trPr>
        <w:tc>
          <w:tcPr>
            <w:tcW w:w="5125" w:type="dxa"/>
          </w:tcPr>
          <w:p w14:paraId="3118A9F9" w14:textId="77777777" w:rsidR="00A27938" w:rsidRDefault="00A27938" w:rsidP="00A27938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4770" w:type="dxa"/>
            <w:vAlign w:val="center"/>
          </w:tcPr>
          <w:p w14:paraId="7D490AFE" w14:textId="77777777" w:rsidR="00E07215" w:rsidRPr="001D4445" w:rsidRDefault="00E07215" w:rsidP="00E07215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1-</w:t>
            </w: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ab/>
              <w:t>Barry B. Brey, “The Intel Microprocessors 8086/8088, 80186/80188, 80286,80386, 80486, Pentium, and Pentium Pro Processor Architecture, Programming,</w:t>
            </w:r>
          </w:p>
          <w:p w14:paraId="441CE5E6" w14:textId="7637A297" w:rsidR="00A27938" w:rsidRPr="00A27938" w:rsidRDefault="00E07215" w:rsidP="00E07215">
            <w:pPr>
              <w:pStyle w:val="ListParagraph"/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left="360" w:right="0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and Interfacing”, 6th Edition, </w:t>
            </w:r>
            <w:proofErr w:type="spellStart"/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Prentic</w:t>
            </w:r>
            <w:proofErr w:type="spellEnd"/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-Hall Inc., 2003.</w:t>
            </w:r>
          </w:p>
        </w:tc>
      </w:tr>
      <w:tr w:rsidR="00A27938" w:rsidRPr="00BB1D3D" w14:paraId="2D2FB340" w14:textId="77777777" w:rsidTr="002F76E5">
        <w:trPr>
          <w:jc w:val="right"/>
        </w:trPr>
        <w:tc>
          <w:tcPr>
            <w:tcW w:w="5125" w:type="dxa"/>
          </w:tcPr>
          <w:p w14:paraId="29B4A9A7" w14:textId="77777777" w:rsidR="00A27938" w:rsidRDefault="00A27938" w:rsidP="00A27938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4770" w:type="dxa"/>
            <w:vAlign w:val="center"/>
          </w:tcPr>
          <w:p w14:paraId="1A878906" w14:textId="77777777" w:rsidR="00E07215" w:rsidRPr="001D4445" w:rsidRDefault="00E07215" w:rsidP="00E07215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Walter A. </w:t>
            </w:r>
            <w:proofErr w:type="spellStart"/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Triebe</w:t>
            </w:r>
            <w:proofErr w:type="spellEnd"/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, “The 8086 Microprocessor: Architecture, Software, and</w:t>
            </w:r>
          </w:p>
          <w:p w14:paraId="292FE34C" w14:textId="5CA0792E" w:rsidR="00A27938" w:rsidRPr="00A27938" w:rsidRDefault="00E07215" w:rsidP="00E07215">
            <w:pPr>
              <w:pStyle w:val="ListParagraph"/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right="0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Interfacing Techniques”, </w:t>
            </w:r>
            <w:proofErr w:type="spellStart"/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Prentic</w:t>
            </w:r>
            <w:proofErr w:type="spellEnd"/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-Hall Inc., 1998.</w:t>
            </w:r>
          </w:p>
        </w:tc>
      </w:tr>
      <w:tr w:rsidR="00A27938" w14:paraId="6719969A" w14:textId="77777777" w:rsidTr="002F76E5">
        <w:trPr>
          <w:jc w:val="right"/>
        </w:trPr>
        <w:tc>
          <w:tcPr>
            <w:tcW w:w="5125" w:type="dxa"/>
          </w:tcPr>
          <w:p w14:paraId="19FC7385" w14:textId="77777777" w:rsidR="00A27938" w:rsidRDefault="00A27938" w:rsidP="00A27938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4770" w:type="dxa"/>
            <w:vAlign w:val="center"/>
          </w:tcPr>
          <w:p w14:paraId="445E7D54" w14:textId="77777777" w:rsidR="00E07215" w:rsidRPr="001D4445" w:rsidRDefault="00E07215" w:rsidP="00E07215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Walter A. </w:t>
            </w:r>
            <w:proofErr w:type="spellStart"/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Triebe</w:t>
            </w:r>
            <w:proofErr w:type="spellEnd"/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, “The 8086 Microprocessor: Architecture, Software, and</w:t>
            </w:r>
          </w:p>
          <w:p w14:paraId="04E883EC" w14:textId="77FAE80A" w:rsidR="00A27938" w:rsidRPr="00A27938" w:rsidRDefault="00E07215" w:rsidP="00E07215">
            <w:pPr>
              <w:shd w:val="clear" w:color="auto" w:fill="FFFFFF"/>
              <w:bidi w:val="0"/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Interfacing Techniques”, </w:t>
            </w:r>
            <w:proofErr w:type="spellStart"/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Prentic</w:t>
            </w:r>
            <w:proofErr w:type="spellEnd"/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-Hall Inc., 1998.</w:t>
            </w:r>
          </w:p>
        </w:tc>
      </w:tr>
      <w:tr w:rsidR="00A27938" w14:paraId="0A8C1502" w14:textId="77777777" w:rsidTr="002F76E5">
        <w:trPr>
          <w:jc w:val="right"/>
        </w:trPr>
        <w:tc>
          <w:tcPr>
            <w:tcW w:w="5125" w:type="dxa"/>
          </w:tcPr>
          <w:p w14:paraId="5BB36FAE" w14:textId="77777777" w:rsidR="00A27938" w:rsidRPr="00E87F21" w:rsidRDefault="00A27938" w:rsidP="00A27938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الالكترونية</w:t>
            </w:r>
          </w:p>
        </w:tc>
        <w:tc>
          <w:tcPr>
            <w:tcW w:w="4770" w:type="dxa"/>
            <w:vAlign w:val="center"/>
          </w:tcPr>
          <w:p w14:paraId="0DD048F8" w14:textId="796B45B6" w:rsidR="00A27938" w:rsidRPr="00A27938" w:rsidRDefault="003F1DA2" w:rsidP="00A27938">
            <w:pPr>
              <w:shd w:val="clear" w:color="auto" w:fill="FFFFFF"/>
              <w:bidi w:val="0"/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3F1DA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www.sciencedirect.com</w:t>
            </w:r>
          </w:p>
        </w:tc>
      </w:tr>
    </w:tbl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1E0A" w14:textId="77777777" w:rsidR="004B135F" w:rsidRDefault="004B135F">
      <w:pPr>
        <w:spacing w:line="240" w:lineRule="auto"/>
        <w:ind w:left="0" w:hanging="2"/>
      </w:pPr>
      <w:r>
        <w:separator/>
      </w:r>
    </w:p>
  </w:endnote>
  <w:endnote w:type="continuationSeparator" w:id="0">
    <w:p w14:paraId="5445C1D3" w14:textId="77777777" w:rsidR="004B135F" w:rsidRDefault="004B13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7777777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213E09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BF86" w14:textId="77777777" w:rsidR="004B135F" w:rsidRDefault="004B135F">
      <w:pPr>
        <w:spacing w:line="240" w:lineRule="auto"/>
        <w:ind w:left="0" w:hanging="2"/>
      </w:pPr>
      <w:r>
        <w:separator/>
      </w:r>
    </w:p>
  </w:footnote>
  <w:footnote w:type="continuationSeparator" w:id="0">
    <w:p w14:paraId="66BF6B2D" w14:textId="77777777" w:rsidR="004B135F" w:rsidRDefault="004B13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59"/>
    <w:multiLevelType w:val="hybridMultilevel"/>
    <w:tmpl w:val="C114D344"/>
    <w:lvl w:ilvl="0" w:tplc="9760DD16">
      <w:numFmt w:val="bullet"/>
      <w:lvlText w:val="-"/>
      <w:lvlJc w:val="left"/>
      <w:pPr>
        <w:ind w:left="358" w:hanging="360"/>
      </w:pPr>
      <w:rPr>
        <w:rFonts w:ascii="Times New Roman" w:eastAsia="Simplified Arab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E870278"/>
    <w:multiLevelType w:val="hybridMultilevel"/>
    <w:tmpl w:val="D982EDA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FBF4C0B"/>
    <w:multiLevelType w:val="hybridMultilevel"/>
    <w:tmpl w:val="EA404A92"/>
    <w:lvl w:ilvl="0" w:tplc="9760DD16">
      <w:numFmt w:val="bullet"/>
      <w:lvlText w:val="-"/>
      <w:lvlJc w:val="left"/>
      <w:pPr>
        <w:ind w:left="356" w:hanging="360"/>
      </w:pPr>
      <w:rPr>
        <w:rFonts w:ascii="Times New Roman" w:eastAsia="Simplified Arab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1BA5"/>
    <w:multiLevelType w:val="hybridMultilevel"/>
    <w:tmpl w:val="A39038C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BE01F77"/>
    <w:multiLevelType w:val="hybridMultilevel"/>
    <w:tmpl w:val="C09A6E20"/>
    <w:lvl w:ilvl="0" w:tplc="C3F41232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5E67769"/>
    <w:multiLevelType w:val="hybridMultilevel"/>
    <w:tmpl w:val="A3928B36"/>
    <w:lvl w:ilvl="0" w:tplc="8B22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1423832"/>
    <w:multiLevelType w:val="hybridMultilevel"/>
    <w:tmpl w:val="33BCFD14"/>
    <w:lvl w:ilvl="0" w:tplc="C3F41232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16E80"/>
    <w:multiLevelType w:val="hybridMultilevel"/>
    <w:tmpl w:val="D2FEDF7C"/>
    <w:lvl w:ilvl="0" w:tplc="C3F41232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5851747B"/>
    <w:multiLevelType w:val="hybridMultilevel"/>
    <w:tmpl w:val="2F74FFDC"/>
    <w:lvl w:ilvl="0" w:tplc="C3F41232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D9B07B1"/>
    <w:multiLevelType w:val="hybridMultilevel"/>
    <w:tmpl w:val="5FE4247A"/>
    <w:lvl w:ilvl="0" w:tplc="9760DD16">
      <w:numFmt w:val="bullet"/>
      <w:lvlText w:val="-"/>
      <w:lvlJc w:val="left"/>
      <w:pPr>
        <w:ind w:left="356" w:hanging="360"/>
      </w:pPr>
      <w:rPr>
        <w:rFonts w:ascii="Times New Roman" w:eastAsia="Simplified Arab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17"/>
  </w:num>
  <w:num w:numId="8">
    <w:abstractNumId w:val="10"/>
  </w:num>
  <w:num w:numId="9">
    <w:abstractNumId w:val="15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18"/>
  </w:num>
  <w:num w:numId="15">
    <w:abstractNumId w:val="1"/>
  </w:num>
  <w:num w:numId="16">
    <w:abstractNumId w:val="12"/>
  </w:num>
  <w:num w:numId="17">
    <w:abstractNumId w:val="8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1A05F8"/>
    <w:rsid w:val="00212A56"/>
    <w:rsid w:val="00213E09"/>
    <w:rsid w:val="003C3D01"/>
    <w:rsid w:val="003D4F3A"/>
    <w:rsid w:val="003F1DA2"/>
    <w:rsid w:val="004B135F"/>
    <w:rsid w:val="0065270A"/>
    <w:rsid w:val="0074133A"/>
    <w:rsid w:val="00765852"/>
    <w:rsid w:val="007D1393"/>
    <w:rsid w:val="007D30FD"/>
    <w:rsid w:val="0083383E"/>
    <w:rsid w:val="008C1FDD"/>
    <w:rsid w:val="00A27938"/>
    <w:rsid w:val="00A40107"/>
    <w:rsid w:val="00A65AB0"/>
    <w:rsid w:val="00AC7558"/>
    <w:rsid w:val="00AD7D32"/>
    <w:rsid w:val="00BB1D3D"/>
    <w:rsid w:val="00D15819"/>
    <w:rsid w:val="00DE7CC1"/>
    <w:rsid w:val="00E07215"/>
    <w:rsid w:val="00E87F21"/>
    <w:rsid w:val="00F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C7558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7F6689-10B7-4418-886F-7EA9619A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Mustafa Sabry</cp:lastModifiedBy>
  <cp:revision>10</cp:revision>
  <dcterms:created xsi:type="dcterms:W3CDTF">2024-03-19T07:26:00Z</dcterms:created>
  <dcterms:modified xsi:type="dcterms:W3CDTF">2024-04-20T20:32:00Z</dcterms:modified>
</cp:coreProperties>
</file>