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6D7E0" w14:textId="77777777" w:rsidR="00A40107" w:rsidRDefault="00A40107">
      <w:pPr>
        <w:shd w:val="clear" w:color="auto" w:fill="FFFFFF"/>
        <w:spacing w:after="200"/>
        <w:ind w:left="1" w:hanging="3"/>
        <w:jc w:val="left"/>
        <w:rPr>
          <w:sz w:val="32"/>
          <w:szCs w:val="32"/>
        </w:rPr>
      </w:pPr>
    </w:p>
    <w:p w14:paraId="795488C2" w14:textId="77777777" w:rsidR="00A40107" w:rsidRDefault="00D15819">
      <w:pPr>
        <w:shd w:val="clear" w:color="auto" w:fill="FFFFFF"/>
        <w:spacing w:after="200"/>
        <w:ind w:left="1" w:hanging="3"/>
        <w:jc w:val="center"/>
        <w:rPr>
          <w:sz w:val="32"/>
          <w:szCs w:val="32"/>
        </w:rPr>
      </w:pPr>
      <w:r>
        <w:rPr>
          <w:b/>
          <w:sz w:val="32"/>
          <w:szCs w:val="32"/>
          <w:rtl/>
        </w:rPr>
        <w:t>نموذج وصف المقرر</w:t>
      </w:r>
    </w:p>
    <w:tbl>
      <w:tblPr>
        <w:tblStyle w:val="af0"/>
        <w:bidiVisual/>
        <w:tblW w:w="98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1530"/>
        <w:gridCol w:w="495"/>
        <w:gridCol w:w="3015"/>
        <w:gridCol w:w="1080"/>
        <w:gridCol w:w="1070"/>
      </w:tblGrid>
      <w:tr w:rsidR="00A40107" w14:paraId="5BAB9957" w14:textId="77777777" w:rsidTr="0074133A">
        <w:trPr>
          <w:jc w:val="right"/>
        </w:trPr>
        <w:tc>
          <w:tcPr>
            <w:tcW w:w="9890" w:type="dxa"/>
            <w:gridSpan w:val="7"/>
            <w:shd w:val="clear" w:color="auto" w:fill="DEEAF6"/>
          </w:tcPr>
          <w:p w14:paraId="3B0F7941" w14:textId="412FDC2D" w:rsidR="00A40107" w:rsidRDefault="00E87F2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74133A">
        <w:trPr>
          <w:jc w:val="right"/>
        </w:trPr>
        <w:tc>
          <w:tcPr>
            <w:tcW w:w="9890" w:type="dxa"/>
            <w:gridSpan w:val="7"/>
          </w:tcPr>
          <w:p w14:paraId="61267991" w14:textId="089A426E" w:rsidR="00A40107" w:rsidRDefault="0048305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بايوميكانيك</w:t>
            </w:r>
          </w:p>
        </w:tc>
      </w:tr>
      <w:tr w:rsidR="00A40107" w14:paraId="197558DF" w14:textId="77777777" w:rsidTr="0074133A">
        <w:trPr>
          <w:jc w:val="right"/>
        </w:trPr>
        <w:tc>
          <w:tcPr>
            <w:tcW w:w="9890" w:type="dxa"/>
            <w:gridSpan w:val="7"/>
            <w:shd w:val="clear" w:color="auto" w:fill="DEEAF6"/>
          </w:tcPr>
          <w:p w14:paraId="11237CBF" w14:textId="06276AD2" w:rsidR="00A40107" w:rsidRDefault="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كود</w:t>
            </w:r>
            <w:r w:rsidR="00E87F21">
              <w:rPr>
                <w:rFonts w:ascii="Simplified Arabic" w:eastAsia="Simplified Arabic" w:hAnsi="Simplified Arabic" w:cs="Simplified Arabic" w:hint="cs"/>
                <w:sz w:val="28"/>
                <w:szCs w:val="28"/>
                <w:rtl/>
              </w:rPr>
              <w:t xml:space="preserve"> المقرر</w:t>
            </w:r>
          </w:p>
        </w:tc>
      </w:tr>
      <w:tr w:rsidR="00651AA1" w14:paraId="1BE71A25" w14:textId="77777777" w:rsidTr="0074133A">
        <w:trPr>
          <w:jc w:val="right"/>
        </w:trPr>
        <w:tc>
          <w:tcPr>
            <w:tcW w:w="9890" w:type="dxa"/>
            <w:gridSpan w:val="7"/>
          </w:tcPr>
          <w:p w14:paraId="45DF204E" w14:textId="16C7515F" w:rsidR="00651AA1" w:rsidRDefault="005A1588" w:rsidP="00483051">
            <w:pPr>
              <w:ind w:leftChars="0" w:left="0" w:right="-426"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WBM-04-01</w:t>
            </w:r>
            <w:bookmarkStart w:id="0" w:name="_GoBack"/>
            <w:bookmarkEnd w:id="0"/>
          </w:p>
        </w:tc>
      </w:tr>
      <w:tr w:rsidR="00651AA1" w14:paraId="122E5E9B" w14:textId="77777777" w:rsidTr="0074133A">
        <w:trPr>
          <w:jc w:val="right"/>
        </w:trPr>
        <w:tc>
          <w:tcPr>
            <w:tcW w:w="9890" w:type="dxa"/>
            <w:gridSpan w:val="7"/>
            <w:shd w:val="clear" w:color="auto" w:fill="DEEAF6"/>
          </w:tcPr>
          <w:p w14:paraId="0BE2ADB3" w14:textId="57F53ACE"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الفصل / السنة </w:t>
            </w:r>
          </w:p>
        </w:tc>
      </w:tr>
      <w:tr w:rsidR="00651AA1" w14:paraId="73B1CF78" w14:textId="77777777" w:rsidTr="0074133A">
        <w:trPr>
          <w:jc w:val="right"/>
        </w:trPr>
        <w:tc>
          <w:tcPr>
            <w:tcW w:w="9890" w:type="dxa"/>
            <w:gridSpan w:val="7"/>
          </w:tcPr>
          <w:p w14:paraId="17F02B17" w14:textId="7D196FE5" w:rsidR="00651AA1" w:rsidRDefault="00651AA1"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الفصل</w:t>
            </w:r>
            <w:r w:rsidR="00D65E66">
              <w:rPr>
                <w:rFonts w:ascii="Simplified Arabic" w:eastAsia="Simplified Arabic" w:hAnsi="Simplified Arabic" w:cs="Simplified Arabic" w:hint="cs"/>
                <w:sz w:val="28"/>
                <w:szCs w:val="28"/>
                <w:rtl/>
              </w:rPr>
              <w:t xml:space="preserve"> الاول \2024-2025</w:t>
            </w:r>
          </w:p>
        </w:tc>
      </w:tr>
      <w:tr w:rsidR="00651AA1" w14:paraId="19B31597" w14:textId="77777777" w:rsidTr="0074133A">
        <w:trPr>
          <w:jc w:val="right"/>
        </w:trPr>
        <w:tc>
          <w:tcPr>
            <w:tcW w:w="9890" w:type="dxa"/>
            <w:gridSpan w:val="7"/>
            <w:shd w:val="clear" w:color="auto" w:fill="DEEAF6"/>
          </w:tcPr>
          <w:p w14:paraId="07711EB1" w14:textId="668A052B"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651AA1" w14:paraId="44FF29FD" w14:textId="77777777" w:rsidTr="0074133A">
        <w:trPr>
          <w:jc w:val="right"/>
        </w:trPr>
        <w:tc>
          <w:tcPr>
            <w:tcW w:w="9890" w:type="dxa"/>
            <w:gridSpan w:val="7"/>
          </w:tcPr>
          <w:p w14:paraId="064FF88F" w14:textId="77C06ACA" w:rsidR="00651AA1" w:rsidRDefault="00D65E66" w:rsidP="00D65E66">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23</w:t>
            </w:r>
            <w:r w:rsidR="00651AA1">
              <w:rPr>
                <w:rFonts w:ascii="Simplified Arabic" w:eastAsia="Simplified Arabic" w:hAnsi="Simplified Arabic" w:cs="Simplified Arabic" w:hint="cs"/>
                <w:sz w:val="28"/>
                <w:szCs w:val="28"/>
                <w:rtl/>
              </w:rPr>
              <w:t>/</w:t>
            </w:r>
            <w:r>
              <w:rPr>
                <w:rFonts w:ascii="Simplified Arabic" w:eastAsia="Simplified Arabic" w:hAnsi="Simplified Arabic" w:cs="Simplified Arabic" w:hint="cs"/>
                <w:sz w:val="28"/>
                <w:szCs w:val="28"/>
                <w:rtl/>
              </w:rPr>
              <w:t>9</w:t>
            </w:r>
            <w:r w:rsidR="00651AA1">
              <w:rPr>
                <w:rFonts w:ascii="Simplified Arabic" w:eastAsia="Simplified Arabic" w:hAnsi="Simplified Arabic" w:cs="Simplified Arabic" w:hint="cs"/>
                <w:sz w:val="28"/>
                <w:szCs w:val="28"/>
                <w:rtl/>
              </w:rPr>
              <w:t>/2024</w:t>
            </w:r>
          </w:p>
        </w:tc>
      </w:tr>
      <w:tr w:rsidR="00651AA1" w14:paraId="2C47E6FB" w14:textId="77777777" w:rsidTr="0074133A">
        <w:trPr>
          <w:jc w:val="right"/>
        </w:trPr>
        <w:tc>
          <w:tcPr>
            <w:tcW w:w="9890" w:type="dxa"/>
            <w:gridSpan w:val="7"/>
            <w:shd w:val="clear" w:color="auto" w:fill="DEEAF6"/>
          </w:tcPr>
          <w:p w14:paraId="0BFAB6EA" w14:textId="0F0E7218" w:rsidR="00651AA1" w:rsidRDefault="00651AA1" w:rsidP="00651AA1">
            <w:pPr>
              <w:numPr>
                <w:ilvl w:val="0"/>
                <w:numId w:val="3"/>
              </w:numPr>
              <w:ind w:left="1" w:hanging="3"/>
              <w:jc w:val="left"/>
              <w:rPr>
                <w:sz w:val="28"/>
                <w:szCs w:val="28"/>
              </w:rPr>
            </w:pPr>
            <w:r>
              <w:rPr>
                <w:rFonts w:hint="cs"/>
                <w:sz w:val="28"/>
                <w:szCs w:val="28"/>
                <w:rtl/>
              </w:rPr>
              <w:t>اشكال الحضور المتاحة</w:t>
            </w:r>
          </w:p>
        </w:tc>
      </w:tr>
      <w:tr w:rsidR="00651AA1" w14:paraId="6B7FBDAC" w14:textId="77777777" w:rsidTr="0074133A">
        <w:trPr>
          <w:jc w:val="right"/>
        </w:trPr>
        <w:tc>
          <w:tcPr>
            <w:tcW w:w="9890" w:type="dxa"/>
            <w:gridSpan w:val="7"/>
          </w:tcPr>
          <w:p w14:paraId="5D74F8F5" w14:textId="731625A4" w:rsidR="00651AA1" w:rsidRDefault="00A00F02" w:rsidP="00651AA1">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 xml:space="preserve">اسبوعي (نظري </w:t>
            </w:r>
            <w:r w:rsidR="00651AA1" w:rsidRPr="007D1393">
              <w:rPr>
                <w:rFonts w:ascii="Cambria" w:eastAsia="Cambria" w:hAnsi="Cambria"/>
                <w:color w:val="000000"/>
                <w:sz w:val="28"/>
                <w:szCs w:val="28"/>
                <w:rtl/>
              </w:rPr>
              <w:t>)</w:t>
            </w:r>
          </w:p>
        </w:tc>
      </w:tr>
      <w:tr w:rsidR="00651AA1" w14:paraId="6E569412" w14:textId="77777777" w:rsidTr="0074133A">
        <w:trPr>
          <w:jc w:val="right"/>
        </w:trPr>
        <w:tc>
          <w:tcPr>
            <w:tcW w:w="9890" w:type="dxa"/>
            <w:gridSpan w:val="7"/>
            <w:shd w:val="clear" w:color="auto" w:fill="DEEAF6"/>
          </w:tcPr>
          <w:p w14:paraId="1E9C5431" w14:textId="776CC697" w:rsidR="00651AA1" w:rsidRDefault="00651AA1" w:rsidP="00651AA1">
            <w:pPr>
              <w:numPr>
                <w:ilvl w:val="0"/>
                <w:numId w:val="3"/>
              </w:numPr>
              <w:ind w:left="1" w:hanging="3"/>
              <w:jc w:val="left"/>
              <w:rPr>
                <w:sz w:val="28"/>
                <w:szCs w:val="28"/>
              </w:rPr>
            </w:pPr>
            <w:r>
              <w:rPr>
                <w:rFonts w:hint="cs"/>
                <w:sz w:val="28"/>
                <w:szCs w:val="28"/>
                <w:rtl/>
              </w:rPr>
              <w:t>عدد الساعات الدراسية ( الكلي) / عدد الوحدات الكلي</w:t>
            </w:r>
          </w:p>
        </w:tc>
      </w:tr>
      <w:tr w:rsidR="00651AA1" w14:paraId="3A25EFC6" w14:textId="77777777" w:rsidTr="0074133A">
        <w:trPr>
          <w:jc w:val="right"/>
        </w:trPr>
        <w:tc>
          <w:tcPr>
            <w:tcW w:w="9890" w:type="dxa"/>
            <w:gridSpan w:val="7"/>
          </w:tcPr>
          <w:p w14:paraId="0A7B6031" w14:textId="663C9CEC" w:rsidR="00651AA1" w:rsidRDefault="00A00F02" w:rsidP="00A00F02">
            <w:pPr>
              <w:shd w:val="clear" w:color="auto" w:fill="FFFFFF"/>
              <w:ind w:leftChars="0" w:left="0" w:right="-426" w:firstLineChars="0" w:firstLine="0"/>
              <w:jc w:val="both"/>
              <w:rPr>
                <w:rFonts w:ascii="Cambria" w:eastAsia="Cambria" w:hAnsi="Cambria" w:cs="Cambria"/>
                <w:color w:val="000000"/>
                <w:sz w:val="28"/>
                <w:szCs w:val="28"/>
              </w:rPr>
            </w:pPr>
            <w:r>
              <w:rPr>
                <w:rFonts w:ascii="Cambria" w:eastAsia="Cambria" w:hAnsi="Cambria" w:hint="cs"/>
                <w:color w:val="000000"/>
                <w:sz w:val="28"/>
                <w:szCs w:val="28"/>
                <w:rtl/>
              </w:rPr>
              <w:t xml:space="preserve">60 </w:t>
            </w:r>
            <w:r>
              <w:rPr>
                <w:rFonts w:ascii="Cambria" w:eastAsia="Cambria" w:hAnsi="Cambria"/>
                <w:color w:val="000000"/>
                <w:sz w:val="28"/>
                <w:szCs w:val="28"/>
                <w:rtl/>
              </w:rPr>
              <w:t xml:space="preserve">ساعة نظري </w:t>
            </w:r>
            <w:r w:rsidR="00651AA1">
              <w:rPr>
                <w:rFonts w:ascii="Cambria" w:eastAsia="Cambria" w:hAnsi="Cambria" w:hint="cs"/>
                <w:color w:val="000000"/>
                <w:sz w:val="28"/>
                <w:szCs w:val="28"/>
                <w:rtl/>
              </w:rPr>
              <w:t>/ 3 وحدات</w:t>
            </w:r>
          </w:p>
        </w:tc>
      </w:tr>
      <w:tr w:rsidR="00651AA1" w14:paraId="41C7840F" w14:textId="77777777" w:rsidTr="0074133A">
        <w:trPr>
          <w:jc w:val="right"/>
        </w:trPr>
        <w:tc>
          <w:tcPr>
            <w:tcW w:w="9890" w:type="dxa"/>
            <w:gridSpan w:val="7"/>
            <w:shd w:val="clear" w:color="auto" w:fill="DEEAF6"/>
          </w:tcPr>
          <w:p w14:paraId="5C6C4CB4" w14:textId="0DE6B9DF" w:rsidR="00651AA1" w:rsidRDefault="00651AA1" w:rsidP="00651AA1">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651AA1" w14:paraId="1D056ECE" w14:textId="77777777" w:rsidTr="0074133A">
        <w:trPr>
          <w:jc w:val="right"/>
        </w:trPr>
        <w:tc>
          <w:tcPr>
            <w:tcW w:w="9890" w:type="dxa"/>
            <w:gridSpan w:val="7"/>
          </w:tcPr>
          <w:p w14:paraId="1E221828" w14:textId="4A246C07" w:rsidR="00651AA1" w:rsidRPr="00E87F21" w:rsidRDefault="00651AA1" w:rsidP="00D65E66">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الاسم:   </w:t>
            </w:r>
            <w:r w:rsidR="00A00F02">
              <w:rPr>
                <w:rFonts w:ascii="Cambria" w:eastAsia="Cambria" w:hAnsi="Cambria" w:hint="cs"/>
                <w:color w:val="000000"/>
                <w:sz w:val="28"/>
                <w:szCs w:val="28"/>
                <w:rtl/>
              </w:rPr>
              <w:t xml:space="preserve">م.م </w:t>
            </w:r>
            <w:r w:rsidR="00D65E66">
              <w:rPr>
                <w:rFonts w:ascii="Cambria" w:eastAsia="Cambria" w:hAnsi="Cambria" w:hint="cs"/>
                <w:color w:val="000000"/>
                <w:sz w:val="28"/>
                <w:szCs w:val="28"/>
                <w:rtl/>
              </w:rPr>
              <w:t xml:space="preserve">ناطق عزيز </w:t>
            </w:r>
          </w:p>
        </w:tc>
      </w:tr>
      <w:tr w:rsidR="00651AA1" w14:paraId="5170BB72" w14:textId="77777777" w:rsidTr="0074133A">
        <w:trPr>
          <w:jc w:val="right"/>
        </w:trPr>
        <w:tc>
          <w:tcPr>
            <w:tcW w:w="9890" w:type="dxa"/>
            <w:gridSpan w:val="7"/>
            <w:shd w:val="clear" w:color="auto" w:fill="DEEAF6"/>
          </w:tcPr>
          <w:p w14:paraId="7478981E" w14:textId="76A4A784"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اهداف المقرر</w:t>
            </w:r>
          </w:p>
        </w:tc>
      </w:tr>
      <w:tr w:rsidR="00651AA1" w14:paraId="4C6BB4C2" w14:textId="77777777" w:rsidTr="0074133A">
        <w:trPr>
          <w:trHeight w:val="1211"/>
          <w:jc w:val="right"/>
        </w:trPr>
        <w:tc>
          <w:tcPr>
            <w:tcW w:w="4725" w:type="dxa"/>
            <w:gridSpan w:val="4"/>
          </w:tcPr>
          <w:p w14:paraId="6CD3EAB0" w14:textId="291DD61F" w:rsidR="00651AA1" w:rsidRDefault="00651AA1" w:rsidP="00651AA1">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 xml:space="preserve">اهداف المادة الدراسية: </w:t>
            </w:r>
          </w:p>
        </w:tc>
        <w:tc>
          <w:tcPr>
            <w:tcW w:w="5165" w:type="dxa"/>
            <w:gridSpan w:val="3"/>
          </w:tcPr>
          <w:p w14:paraId="18DF5FD2" w14:textId="382BD098" w:rsidR="00651AA1" w:rsidRPr="00212A56" w:rsidRDefault="00483051" w:rsidP="00483051">
            <w:pPr>
              <w:ind w:leftChars="0" w:left="0" w:firstLineChars="0" w:firstLine="0"/>
              <w:jc w:val="both"/>
              <w:rPr>
                <w:rFonts w:ascii="Simplified Arabic" w:eastAsia="Simplified Arabic" w:hAnsi="Simplified Arabic" w:cs="Simplified Arabic"/>
              </w:rPr>
            </w:pPr>
            <w:r w:rsidRPr="00483051">
              <w:rPr>
                <w:rFonts w:ascii="Simplified Arabic" w:eastAsia="Simplified Arabic" w:hAnsi="Simplified Arabic" w:cs="Simplified Arabic"/>
                <w:sz w:val="22"/>
                <w:szCs w:val="22"/>
                <w:rtl/>
              </w:rPr>
              <w:t>تبحث الميكانيكا الحيوية في استخدام المبادئ الميكانيكية من أجل تحسين الأداء الرياضي للفرد. يمكن القيام بذلك عن طريق تحسين المعدات التي يستخدمونها وتعديل تنفيذ التدريب لمساعدة الفرد على تحقيق أهدافه. إعادة التأهيل والوقاية من الإصابة.</w:t>
            </w:r>
          </w:p>
        </w:tc>
      </w:tr>
      <w:tr w:rsidR="00651AA1" w14:paraId="04A49005" w14:textId="77777777" w:rsidTr="0074133A">
        <w:trPr>
          <w:jc w:val="right"/>
        </w:trPr>
        <w:tc>
          <w:tcPr>
            <w:tcW w:w="9890" w:type="dxa"/>
            <w:gridSpan w:val="7"/>
            <w:shd w:val="clear" w:color="auto" w:fill="DEEAF6"/>
          </w:tcPr>
          <w:p w14:paraId="5B025C87" w14:textId="54B0C6DE" w:rsidR="00651AA1" w:rsidRDefault="00651AA1" w:rsidP="00F0201E">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استراتيجيات التعليم والتعلم</w:t>
            </w:r>
          </w:p>
        </w:tc>
      </w:tr>
      <w:tr w:rsidR="00651AA1" w14:paraId="1843D3BF" w14:textId="77777777" w:rsidTr="0074133A">
        <w:trPr>
          <w:jc w:val="right"/>
        </w:trPr>
        <w:tc>
          <w:tcPr>
            <w:tcW w:w="9890" w:type="dxa"/>
            <w:gridSpan w:val="7"/>
            <w:shd w:val="clear" w:color="auto" w:fill="auto"/>
          </w:tcPr>
          <w:p w14:paraId="69E5812B" w14:textId="77777777" w:rsidR="00483051" w:rsidRPr="00483051" w:rsidRDefault="00483051" w:rsidP="00483051">
            <w:pPr>
              <w:autoSpaceDE w:val="0"/>
              <w:autoSpaceDN w:val="0"/>
              <w:bidi w:val="0"/>
              <w:adjustRightInd w:val="0"/>
              <w:ind w:leftChars="0" w:left="2" w:hanging="2"/>
              <w:rPr>
                <w:rFonts w:ascii="Cambria" w:hAnsi="Cambria"/>
                <w:color w:val="000000"/>
                <w:sz w:val="24"/>
                <w:szCs w:val="24"/>
                <w:rtl/>
                <w:lang w:bidi="ar"/>
              </w:rPr>
            </w:pPr>
            <w:r w:rsidRPr="00483051">
              <w:rPr>
                <w:rFonts w:ascii="Cambria" w:hAnsi="Cambria" w:hint="cs"/>
                <w:color w:val="000000"/>
                <w:sz w:val="24"/>
                <w:szCs w:val="24"/>
                <w:rtl/>
                <w:lang w:bidi="ar"/>
              </w:rPr>
              <w:t xml:space="preserve">1. </w:t>
            </w:r>
            <w:r w:rsidRPr="00483051">
              <w:rPr>
                <w:rFonts w:ascii="Cambria" w:hAnsi="Cambria" w:hint="cs"/>
                <w:color w:val="000000"/>
                <w:sz w:val="24"/>
                <w:szCs w:val="24"/>
                <w:rtl/>
              </w:rPr>
              <w:t>بناء الأساس: ابدأ ببناء أساس قوي في المجالات ذات الصلة مثل علم التشريح وعلم وظائف الأعضاء والفيزياء والرياضيات. إن فهم بنية ووظيفة جسم الإنسان، بالإضافة إلى المفاهيم الميكانيكية الأساسية مثل القوة وعزم الدوران والحركة، أمر ضروري لفهم مبادئ الميكانيكا الحيوية.</w:t>
            </w:r>
          </w:p>
          <w:p w14:paraId="24994FF3" w14:textId="77777777" w:rsidR="00483051" w:rsidRPr="00483051" w:rsidRDefault="00483051" w:rsidP="00483051">
            <w:pPr>
              <w:autoSpaceDE w:val="0"/>
              <w:autoSpaceDN w:val="0"/>
              <w:bidi w:val="0"/>
              <w:adjustRightInd w:val="0"/>
              <w:ind w:leftChars="0" w:left="2" w:hanging="2"/>
              <w:rPr>
                <w:rFonts w:ascii="Cambria" w:hAnsi="Cambria"/>
                <w:color w:val="000000"/>
                <w:sz w:val="24"/>
                <w:szCs w:val="24"/>
                <w:rtl/>
                <w:lang w:bidi="ar"/>
              </w:rPr>
            </w:pPr>
            <w:r w:rsidRPr="00483051">
              <w:rPr>
                <w:rFonts w:ascii="Cambria" w:hAnsi="Cambria" w:hint="cs"/>
                <w:color w:val="000000"/>
                <w:sz w:val="24"/>
                <w:szCs w:val="24"/>
                <w:rtl/>
                <w:lang w:bidi="ar"/>
              </w:rPr>
              <w:t xml:space="preserve">2. </w:t>
            </w:r>
            <w:r w:rsidRPr="00483051">
              <w:rPr>
                <w:rFonts w:ascii="Cambria" w:hAnsi="Cambria" w:hint="cs"/>
                <w:color w:val="000000"/>
                <w:sz w:val="24"/>
                <w:szCs w:val="24"/>
                <w:rtl/>
              </w:rPr>
              <w:t>الفهم المفاهيمي: التركيز على تطوير فهم مفاهيمي عميق لمبادئ الميكانيكا الحيوية بدلاً من الحفظ عن ظهر قلب. يتضمن ذلك استيعاب مفاهيم مثل قوانين نيوتن للحركة، والروافع، وميكانيكا المفاصل، وعلم وظائف الأعضاء العضلية، وميكانيكا الأنسجة، وفهم كيفية تطبيقها على جسم الإنسان.</w:t>
            </w:r>
          </w:p>
          <w:p w14:paraId="289CE463" w14:textId="77777777" w:rsidR="00483051" w:rsidRPr="00483051" w:rsidRDefault="00483051" w:rsidP="00483051">
            <w:pPr>
              <w:autoSpaceDE w:val="0"/>
              <w:autoSpaceDN w:val="0"/>
              <w:bidi w:val="0"/>
              <w:adjustRightInd w:val="0"/>
              <w:ind w:leftChars="0" w:left="2" w:hanging="2"/>
              <w:rPr>
                <w:rFonts w:ascii="Cambria" w:hAnsi="Cambria"/>
                <w:color w:val="000000"/>
                <w:sz w:val="24"/>
                <w:szCs w:val="24"/>
                <w:rtl/>
                <w:lang w:bidi="ar"/>
              </w:rPr>
            </w:pPr>
            <w:r w:rsidRPr="00483051">
              <w:rPr>
                <w:rFonts w:ascii="Cambria" w:hAnsi="Cambria" w:hint="cs"/>
                <w:color w:val="000000"/>
                <w:sz w:val="24"/>
                <w:szCs w:val="24"/>
                <w:rtl/>
                <w:lang w:bidi="ar"/>
              </w:rPr>
              <w:t xml:space="preserve">3. </w:t>
            </w:r>
            <w:r w:rsidRPr="00483051">
              <w:rPr>
                <w:rFonts w:ascii="Cambria" w:hAnsi="Cambria" w:hint="cs"/>
                <w:color w:val="000000"/>
                <w:sz w:val="24"/>
                <w:szCs w:val="24"/>
                <w:rtl/>
              </w:rPr>
              <w:t>التطبيق العملي: تطبيق المعرفة النظرية على السيناريوهات العملية من خلال حل المشكلات وتحليل الظواهر الميكانيكية الحيوية في العالم الحقيقي. العمل على دراسات الحالة والتجارب المعملية والمشاريع العملية لاكتساب الخبرة العملية وتعزيز الفهم.</w:t>
            </w:r>
          </w:p>
          <w:p w14:paraId="25F26BE7" w14:textId="77777777" w:rsidR="00483051" w:rsidRPr="00483051" w:rsidRDefault="00483051" w:rsidP="00483051">
            <w:pPr>
              <w:autoSpaceDE w:val="0"/>
              <w:autoSpaceDN w:val="0"/>
              <w:bidi w:val="0"/>
              <w:adjustRightInd w:val="0"/>
              <w:ind w:leftChars="0" w:left="2" w:hanging="2"/>
              <w:rPr>
                <w:rFonts w:ascii="Cambria" w:hAnsi="Cambria"/>
                <w:color w:val="000000"/>
                <w:sz w:val="24"/>
                <w:szCs w:val="24"/>
                <w:lang w:bidi="ar-IQ"/>
              </w:rPr>
            </w:pPr>
            <w:r w:rsidRPr="00483051">
              <w:rPr>
                <w:rFonts w:ascii="Cambria" w:hAnsi="Cambria" w:hint="cs"/>
                <w:color w:val="000000"/>
                <w:sz w:val="24"/>
                <w:szCs w:val="24"/>
                <w:rtl/>
                <w:lang w:bidi="ar"/>
              </w:rPr>
              <w:t xml:space="preserve">4. </w:t>
            </w:r>
            <w:r w:rsidRPr="00483051">
              <w:rPr>
                <w:rFonts w:ascii="Cambria" w:hAnsi="Cambria" w:hint="cs"/>
                <w:color w:val="000000"/>
                <w:sz w:val="24"/>
                <w:szCs w:val="24"/>
                <w:rtl/>
              </w:rPr>
              <w:t>الاستفادة من الموارد: الاستفادة من الكتب المدرسية والمجلات الأكاديمية والموارد عبر الإنترنت ومواد الوسائط المتعددة للوصول إلى مجموعة واسعة من المعلومات ووجهات النظر في الميكانيكا الحيوية. حضور المحاضرات والندوات وورش العمل والمؤتمرات للبقاء على اطلاع بأحدث الأبحاث والتطورات في هذا المجال.</w:t>
            </w:r>
          </w:p>
          <w:p w14:paraId="7A292A2C" w14:textId="26D2391B" w:rsidR="00651AA1" w:rsidRPr="00212A56" w:rsidRDefault="00F0201E" w:rsidP="00F0201E">
            <w:pPr>
              <w:autoSpaceDE w:val="0"/>
              <w:autoSpaceDN w:val="0"/>
              <w:bidi w:val="0"/>
              <w:adjustRightInd w:val="0"/>
              <w:ind w:leftChars="0" w:left="3" w:hanging="3"/>
              <w:rPr>
                <w:rFonts w:ascii="Cambria" w:hAnsi="Cambria"/>
                <w:color w:val="000000"/>
                <w:sz w:val="28"/>
                <w:szCs w:val="28"/>
                <w:rtl/>
                <w:lang w:bidi="ar-IQ"/>
              </w:rPr>
            </w:pPr>
            <w:r w:rsidRPr="00F0201E">
              <w:rPr>
                <w:rFonts w:ascii="Cambria" w:hAnsi="Cambria"/>
                <w:color w:val="000000"/>
                <w:sz w:val="28"/>
                <w:szCs w:val="28"/>
                <w:lang w:bidi="ar-IQ"/>
              </w:rPr>
              <w:t>.</w:t>
            </w:r>
          </w:p>
        </w:tc>
      </w:tr>
      <w:tr w:rsidR="00651AA1" w14:paraId="0F556496" w14:textId="77777777" w:rsidTr="0074133A">
        <w:trPr>
          <w:jc w:val="right"/>
        </w:trPr>
        <w:tc>
          <w:tcPr>
            <w:tcW w:w="9890" w:type="dxa"/>
            <w:gridSpan w:val="7"/>
            <w:shd w:val="clear" w:color="auto" w:fill="DEEAF6"/>
          </w:tcPr>
          <w:p w14:paraId="49B3BC8E" w14:textId="4BE3F910"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بنية المقرر</w:t>
            </w:r>
          </w:p>
        </w:tc>
      </w:tr>
      <w:tr w:rsidR="00651AA1" w14:paraId="0AFD1580" w14:textId="77777777" w:rsidTr="00D202F3">
        <w:trPr>
          <w:trHeight w:val="182"/>
          <w:jc w:val="right"/>
        </w:trPr>
        <w:tc>
          <w:tcPr>
            <w:tcW w:w="990" w:type="dxa"/>
            <w:shd w:val="clear" w:color="auto" w:fill="BDD6EE"/>
          </w:tcPr>
          <w:p w14:paraId="5A008F87" w14:textId="58E7C10F"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الاسبوع</w:t>
            </w:r>
          </w:p>
        </w:tc>
        <w:tc>
          <w:tcPr>
            <w:tcW w:w="1710" w:type="dxa"/>
            <w:shd w:val="clear" w:color="auto" w:fill="BDD6EE"/>
          </w:tcPr>
          <w:p w14:paraId="628F215B" w14:textId="7734A1F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الساعات</w:t>
            </w:r>
          </w:p>
        </w:tc>
        <w:tc>
          <w:tcPr>
            <w:tcW w:w="1530" w:type="dxa"/>
            <w:shd w:val="clear" w:color="auto" w:fill="BDD6EE"/>
          </w:tcPr>
          <w:p w14:paraId="27FF8ECE" w14:textId="7758BE8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مخرجات التعلم المطلوبة</w:t>
            </w:r>
          </w:p>
        </w:tc>
        <w:tc>
          <w:tcPr>
            <w:tcW w:w="3510" w:type="dxa"/>
            <w:gridSpan w:val="2"/>
            <w:shd w:val="clear" w:color="auto" w:fill="BDD6EE"/>
          </w:tcPr>
          <w:p w14:paraId="12163A26" w14:textId="1A357EAB"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080" w:type="dxa"/>
            <w:shd w:val="clear" w:color="auto" w:fill="BDD6EE"/>
          </w:tcPr>
          <w:p w14:paraId="79C177F4" w14:textId="4D8C4B67"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1070" w:type="dxa"/>
            <w:shd w:val="clear" w:color="auto" w:fill="BDD6EE"/>
          </w:tcPr>
          <w:p w14:paraId="0E23B5AB" w14:textId="76203B35"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bl>
    <w:tbl>
      <w:tblPr>
        <w:tblStyle w:val="ListTable3Accent5"/>
        <w:bidiVisual/>
        <w:tblW w:w="5728" w:type="pct"/>
        <w:tblInd w:w="-1250" w:type="dxa"/>
        <w:tblLook w:val="0000" w:firstRow="0" w:lastRow="0" w:firstColumn="0" w:lastColumn="0" w:noHBand="0" w:noVBand="0"/>
      </w:tblPr>
      <w:tblGrid>
        <w:gridCol w:w="1024"/>
        <w:gridCol w:w="1742"/>
        <w:gridCol w:w="1616"/>
        <w:gridCol w:w="3555"/>
        <w:gridCol w:w="1163"/>
        <w:gridCol w:w="1052"/>
      </w:tblGrid>
      <w:tr w:rsidR="00483051" w:rsidRPr="000674C0" w14:paraId="1596B45E" w14:textId="77777777" w:rsidTr="00483051">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4C09B304" w14:textId="2A7E56A3" w:rsidR="00483051" w:rsidRPr="000674C0" w:rsidRDefault="00483051" w:rsidP="00483051">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Pr>
                <w:rFonts w:ascii="Cambria" w:hAnsi="Cambria" w:hint="cs"/>
                <w:color w:val="000000"/>
                <w:sz w:val="28"/>
                <w:szCs w:val="28"/>
                <w:rtl/>
                <w:lang w:bidi="ar-IQ"/>
              </w:rPr>
              <w:t>1+2+3</w:t>
            </w:r>
          </w:p>
        </w:tc>
        <w:tc>
          <w:tcPr>
            <w:tcW w:w="858" w:type="pct"/>
            <w:vAlign w:val="center"/>
          </w:tcPr>
          <w:p w14:paraId="2B25830F" w14:textId="1C7ADB44" w:rsidR="00483051" w:rsidRPr="000674C0" w:rsidRDefault="00483051" w:rsidP="00483051">
            <w:pPr>
              <w:tabs>
                <w:tab w:val="left" w:pos="481"/>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5921B1C9" w14:textId="3E62C948" w:rsidR="00483051" w:rsidRPr="00F0201E" w:rsidRDefault="00483051" w:rsidP="00483051">
            <w:pPr>
              <w:autoSpaceDE w:val="0"/>
              <w:autoSpaceDN w:val="0"/>
              <w:adjustRightInd w:val="0"/>
              <w:ind w:left="0" w:hanging="2"/>
              <w:rPr>
                <w:rFonts w:asciiTheme="majorBidi" w:hAnsiTheme="majorBidi" w:cstheme="majorBidi"/>
                <w:color w:val="000000"/>
                <w:sz w:val="24"/>
                <w:szCs w:val="24"/>
                <w:lang w:bidi="ar-IQ"/>
              </w:rPr>
            </w:pPr>
            <w:r w:rsidRPr="00677188">
              <w:rPr>
                <w:rFonts w:asciiTheme="majorBidi" w:hAnsiTheme="majorBidi" w:cstheme="majorBidi"/>
                <w:color w:val="000000"/>
                <w:sz w:val="24"/>
                <w:szCs w:val="24"/>
                <w:lang w:bidi="ar-IQ"/>
              </w:rPr>
              <w:t>Structure of Shoulder</w:t>
            </w:r>
          </w:p>
        </w:tc>
        <w:tc>
          <w:tcPr>
            <w:tcW w:w="1751" w:type="pct"/>
            <w:vAlign w:val="center"/>
          </w:tcPr>
          <w:p w14:paraId="7CAE55F7" w14:textId="7F2DA1C1" w:rsidR="00483051" w:rsidRPr="00F0201E" w:rsidRDefault="00483051" w:rsidP="00483051">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color w:val="000000"/>
                <w:sz w:val="24"/>
                <w:szCs w:val="24"/>
                <w:lang w:bidi="ar-IQ"/>
              </w:rPr>
              <w:t>Explaining the shoulder joint of the human body and its difference from the rest of the joints, muscles and bones that make up the joint</w:t>
            </w:r>
          </w:p>
        </w:tc>
        <w:tc>
          <w:tcPr>
            <w:cnfStyle w:val="000010000000" w:firstRow="0" w:lastRow="0" w:firstColumn="0" w:lastColumn="0" w:oddVBand="1" w:evenVBand="0" w:oddHBand="0" w:evenHBand="0" w:firstRowFirstColumn="0" w:firstRowLastColumn="0" w:lastRowFirstColumn="0" w:lastRowLastColumn="0"/>
            <w:tcW w:w="573" w:type="pct"/>
          </w:tcPr>
          <w:p w14:paraId="4724DECA" w14:textId="1733479D"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19" w:type="pct"/>
            <w:vAlign w:val="center"/>
          </w:tcPr>
          <w:p w14:paraId="6C83C12C" w14:textId="3929E825"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211D2649" w14:textId="77777777" w:rsidTr="00483051">
        <w:trPr>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51922588" w14:textId="41414D74" w:rsidR="00483051" w:rsidRPr="000674C0" w:rsidRDefault="00483051" w:rsidP="00483051">
            <w:pPr>
              <w:tabs>
                <w:tab w:val="left" w:pos="642"/>
              </w:tabs>
              <w:autoSpaceDE w:val="0"/>
              <w:autoSpaceDN w:val="0"/>
              <w:adjustRightInd w:val="0"/>
              <w:ind w:left="1" w:hanging="3"/>
              <w:jc w:val="both"/>
              <w:rPr>
                <w:rFonts w:asciiTheme="majorBidi" w:hAnsiTheme="majorBidi" w:cstheme="majorBidi"/>
                <w:color w:val="000000"/>
                <w:sz w:val="24"/>
                <w:szCs w:val="24"/>
                <w:rtl/>
                <w:lang w:bidi="ar-IQ"/>
              </w:rPr>
            </w:pPr>
            <w:r>
              <w:rPr>
                <w:rFonts w:ascii="Cambria" w:hAnsi="Cambria" w:hint="cs"/>
                <w:color w:val="000000"/>
                <w:sz w:val="28"/>
                <w:szCs w:val="28"/>
                <w:rtl/>
                <w:lang w:bidi="ar-IQ"/>
              </w:rPr>
              <w:t>4+5</w:t>
            </w:r>
          </w:p>
        </w:tc>
        <w:tc>
          <w:tcPr>
            <w:tcW w:w="858" w:type="pct"/>
            <w:vAlign w:val="center"/>
          </w:tcPr>
          <w:p w14:paraId="6EB6B2C3" w14:textId="13556729"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71F4D34E" w14:textId="6ED0A7B8"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677188">
              <w:rPr>
                <w:rFonts w:asciiTheme="majorBidi" w:hAnsiTheme="majorBidi" w:cstheme="majorBidi"/>
                <w:color w:val="000000"/>
                <w:sz w:val="24"/>
                <w:szCs w:val="24"/>
                <w:lang w:bidi="ar-IQ"/>
              </w:rPr>
              <w:t>Biomechanics of Human upper extremity</w:t>
            </w:r>
          </w:p>
        </w:tc>
        <w:tc>
          <w:tcPr>
            <w:tcW w:w="1751" w:type="pct"/>
            <w:vAlign w:val="center"/>
          </w:tcPr>
          <w:p w14:paraId="585B49E6" w14:textId="14A359F5" w:rsidR="00483051" w:rsidRPr="00F0201E" w:rsidRDefault="00483051" w:rsidP="00483051">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sz w:val="24"/>
                <w:szCs w:val="24"/>
                <w:lang w:bidi="ar-SY"/>
              </w:rPr>
              <w:t>Explaining the upper limbs of the human body and their difference from the lower limbs, and the muscles, joints, and bones that make up each limb</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412EF26B" w14:textId="3EC09AD9" w:rsidR="00483051" w:rsidRPr="000674C0" w:rsidRDefault="00483051" w:rsidP="00483051">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19" w:type="pct"/>
            <w:vAlign w:val="center"/>
          </w:tcPr>
          <w:p w14:paraId="4116C1FF" w14:textId="5ACA63CA"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3A1D8D2A" w14:textId="77777777" w:rsidTr="00483051">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76527F68" w14:textId="1D5C29F4" w:rsidR="00483051" w:rsidRPr="000674C0"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6+7</w:t>
            </w:r>
          </w:p>
        </w:tc>
        <w:tc>
          <w:tcPr>
            <w:tcW w:w="858" w:type="pct"/>
            <w:vAlign w:val="center"/>
          </w:tcPr>
          <w:p w14:paraId="55EE9E29" w14:textId="004FBED8"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3E365B98" w14:textId="55BF3282"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677188">
              <w:rPr>
                <w:rFonts w:asciiTheme="majorBidi" w:hAnsiTheme="majorBidi" w:cstheme="majorBidi"/>
                <w:color w:val="000000"/>
                <w:sz w:val="24"/>
                <w:szCs w:val="24"/>
              </w:rPr>
              <w:t>Biomechanics of Human lower extremity</w:t>
            </w:r>
          </w:p>
        </w:tc>
        <w:tc>
          <w:tcPr>
            <w:tcW w:w="1751" w:type="pct"/>
            <w:vAlign w:val="center"/>
          </w:tcPr>
          <w:p w14:paraId="4664A1BF" w14:textId="59BED4C2" w:rsidR="00483051" w:rsidRPr="00F0201E" w:rsidRDefault="00483051" w:rsidP="00483051">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sz w:val="24"/>
                <w:szCs w:val="24"/>
                <w:lang w:bidi="ar-SY"/>
              </w:rPr>
              <w:t>Explaining the lower limbs of the human body and their difference from the upper limbs and the muscles, joints, and bones that make up each limb</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1D9DF9D3" w14:textId="692C89DA"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19" w:type="pct"/>
            <w:vAlign w:val="center"/>
          </w:tcPr>
          <w:p w14:paraId="5085DA89" w14:textId="72421D47"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4685601D" w14:textId="77777777" w:rsidTr="00483051">
        <w:trPr>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1ABD6478" w14:textId="3956D829" w:rsidR="00483051" w:rsidRPr="000674C0"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8+9</w:t>
            </w:r>
          </w:p>
        </w:tc>
        <w:tc>
          <w:tcPr>
            <w:tcW w:w="858" w:type="pct"/>
            <w:vAlign w:val="center"/>
          </w:tcPr>
          <w:p w14:paraId="6EC40BC2" w14:textId="4A9E0E1E" w:rsidR="00483051" w:rsidRPr="000674C0" w:rsidRDefault="00483051" w:rsidP="00483051">
            <w:pPr>
              <w:tabs>
                <w:tab w:val="left" w:pos="642"/>
              </w:tabs>
              <w:autoSpaceDE w:val="0"/>
              <w:autoSpaceDN w:val="0"/>
              <w:adjustRightInd w:val="0"/>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 xml:space="preserve">4                           </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72040C35" w14:textId="23017806"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677188">
              <w:rPr>
                <w:rFonts w:asciiTheme="majorBidi" w:hAnsiTheme="majorBidi" w:cstheme="majorBidi"/>
                <w:color w:val="000000"/>
                <w:sz w:val="24"/>
                <w:szCs w:val="24"/>
              </w:rPr>
              <w:t>Linear Kinematics of Human movement</w:t>
            </w:r>
          </w:p>
        </w:tc>
        <w:tc>
          <w:tcPr>
            <w:tcW w:w="1751" w:type="pct"/>
            <w:vAlign w:val="center"/>
          </w:tcPr>
          <w:p w14:paraId="08F4FEA1" w14:textId="77777777" w:rsidR="00483051" w:rsidRPr="002E70ED" w:rsidRDefault="00483051" w:rsidP="00483051">
            <w:pPr>
              <w:ind w:left="1" w:hanging="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8"/>
                <w:szCs w:val="28"/>
                <w:lang w:bidi="ar-IQ"/>
              </w:rPr>
            </w:pPr>
          </w:p>
          <w:p w14:paraId="20553B7A" w14:textId="39D92C66" w:rsidR="00483051" w:rsidRPr="00F0201E" w:rsidRDefault="00483051" w:rsidP="00483051">
            <w:pPr>
              <w:ind w:left="1" w:hanging="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cstheme="majorBidi"/>
                <w:color w:val="000000"/>
                <w:sz w:val="28"/>
                <w:szCs w:val="28"/>
                <w:lang w:bidi="ar-IQ"/>
              </w:rPr>
              <w:t>Explaining and analyzing the linear motion of the human body</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0D7724B" w14:textId="125DDB96"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19" w:type="pct"/>
            <w:vAlign w:val="center"/>
          </w:tcPr>
          <w:p w14:paraId="644858D9" w14:textId="79F175D7"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2F09A1AA" w14:textId="77777777" w:rsidTr="00483051">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05C51154" w14:textId="26B29E99" w:rsidR="00483051" w:rsidRPr="000674C0"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10+11</w:t>
            </w:r>
          </w:p>
        </w:tc>
        <w:tc>
          <w:tcPr>
            <w:tcW w:w="858" w:type="pct"/>
            <w:vAlign w:val="center"/>
          </w:tcPr>
          <w:p w14:paraId="7436805B" w14:textId="56FC0020"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69E70FC7" w14:textId="0A664D02"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AB180B">
              <w:rPr>
                <w:rFonts w:asciiTheme="majorBidi" w:hAnsiTheme="majorBidi" w:cstheme="majorBidi"/>
                <w:color w:val="000000"/>
                <w:sz w:val="24"/>
                <w:szCs w:val="24"/>
              </w:rPr>
              <w:t>Kinematics of Projectile Motion</w:t>
            </w:r>
          </w:p>
        </w:tc>
        <w:tc>
          <w:tcPr>
            <w:tcW w:w="1751" w:type="pct"/>
            <w:vAlign w:val="center"/>
          </w:tcPr>
          <w:p w14:paraId="605534B6" w14:textId="5B890A96" w:rsidR="00483051" w:rsidRPr="00F0201E" w:rsidRDefault="00483051" w:rsidP="00483051">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E70ED">
              <w:t>Explanation of projectile motion analysis</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FD407C7" w14:textId="1378E19A" w:rsidR="00483051" w:rsidRPr="000674C0" w:rsidRDefault="00483051" w:rsidP="00483051">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19" w:type="pct"/>
            <w:vAlign w:val="center"/>
          </w:tcPr>
          <w:p w14:paraId="443B3915" w14:textId="1083AEC5"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1011576D" w14:textId="77777777" w:rsidTr="00483051">
        <w:trPr>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1F8BB1BB" w14:textId="379E7294" w:rsidR="00483051" w:rsidRPr="000674C0"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12</w:t>
            </w:r>
          </w:p>
        </w:tc>
        <w:tc>
          <w:tcPr>
            <w:tcW w:w="858" w:type="pct"/>
            <w:vAlign w:val="center"/>
          </w:tcPr>
          <w:p w14:paraId="4D2E0489" w14:textId="38909E2F"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7970DF0C" w14:textId="11A4FC81" w:rsidR="00483051" w:rsidRPr="00F0201E" w:rsidRDefault="00483051" w:rsidP="00483051">
            <w:pPr>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C53C6F">
              <w:rPr>
                <w:rFonts w:asciiTheme="majorBidi" w:hAnsiTheme="majorBidi" w:cstheme="majorBidi"/>
                <w:color w:val="000000"/>
                <w:sz w:val="24"/>
                <w:szCs w:val="24"/>
              </w:rPr>
              <w:t>Analyzing Projectile Motion</w:t>
            </w:r>
          </w:p>
        </w:tc>
        <w:tc>
          <w:tcPr>
            <w:tcW w:w="1751" w:type="pct"/>
            <w:vAlign w:val="center"/>
          </w:tcPr>
          <w:p w14:paraId="7A29C30C" w14:textId="33680BE9" w:rsidR="00483051" w:rsidRPr="00F0201E" w:rsidRDefault="00483051" w:rsidP="00483051">
            <w:pPr>
              <w:ind w:left="1" w:hanging="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E70ED">
              <w:rPr>
                <w:sz w:val="28"/>
                <w:szCs w:val="28"/>
              </w:rPr>
              <w:t>Analysis of projectile motion</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2F2C8E95" w14:textId="77777777"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19" w:type="pct"/>
            <w:vAlign w:val="center"/>
          </w:tcPr>
          <w:p w14:paraId="5B66C145" w14:textId="0E4679BB"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5B2FD28A" w14:textId="77777777" w:rsidTr="00483051">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04539E88" w14:textId="5DD654A6" w:rsidR="00483051" w:rsidRPr="000674C0"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13</w:t>
            </w:r>
          </w:p>
        </w:tc>
        <w:tc>
          <w:tcPr>
            <w:tcW w:w="858" w:type="pct"/>
            <w:vAlign w:val="center"/>
          </w:tcPr>
          <w:p w14:paraId="16F58826" w14:textId="1A93B3AE"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6474CAE1" w14:textId="01778BE0"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C53C6F">
              <w:rPr>
                <w:rFonts w:asciiTheme="majorBidi" w:hAnsiTheme="majorBidi" w:cstheme="majorBidi"/>
                <w:color w:val="000000"/>
                <w:sz w:val="24"/>
                <w:szCs w:val="24"/>
              </w:rPr>
              <w:t>Linear Kinematics Quantities</w:t>
            </w:r>
          </w:p>
        </w:tc>
        <w:tc>
          <w:tcPr>
            <w:tcW w:w="1751" w:type="pct"/>
            <w:vAlign w:val="center"/>
          </w:tcPr>
          <w:p w14:paraId="6F9818F7" w14:textId="399DC74E" w:rsidR="00483051" w:rsidRPr="00F0201E" w:rsidRDefault="00483051" w:rsidP="00483051">
            <w:pPr>
              <w:ind w:left="1" w:hanging="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E70ED">
              <w:rPr>
                <w:rFonts w:ascii="Cambria" w:hAnsi="Cambria"/>
                <w:color w:val="000000"/>
                <w:sz w:val="28"/>
                <w:szCs w:val="28"/>
                <w:lang w:bidi="ar-IQ"/>
              </w:rPr>
              <w:t>Explanation of quantities and calculations of linear motion</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902A5E8" w14:textId="77777777"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19" w:type="pct"/>
            <w:vAlign w:val="center"/>
          </w:tcPr>
          <w:p w14:paraId="35A37798" w14:textId="7708E0E8"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4B81F246" w14:textId="77777777" w:rsidTr="00483051">
        <w:trPr>
          <w:trHeight w:val="399"/>
        </w:trPr>
        <w:tc>
          <w:tcPr>
            <w:cnfStyle w:val="000010000000" w:firstRow="0" w:lastRow="0" w:firstColumn="0" w:lastColumn="0" w:oddVBand="1" w:evenVBand="0" w:oddHBand="0" w:evenHBand="0" w:firstRowFirstColumn="0" w:firstRowLastColumn="0" w:lastRowFirstColumn="0" w:lastRowLastColumn="0"/>
            <w:tcW w:w="504" w:type="pct"/>
            <w:vAlign w:val="center"/>
          </w:tcPr>
          <w:p w14:paraId="54ACED8B" w14:textId="46E9039E" w:rsidR="00483051"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lastRenderedPageBreak/>
              <w:t>14</w:t>
            </w:r>
          </w:p>
        </w:tc>
        <w:tc>
          <w:tcPr>
            <w:tcW w:w="858" w:type="pct"/>
            <w:vAlign w:val="center"/>
          </w:tcPr>
          <w:p w14:paraId="0921DF8A" w14:textId="52823553"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623DCDE4" w14:textId="77777777" w:rsidR="00483051" w:rsidRPr="000429BC" w:rsidRDefault="00483051" w:rsidP="00483051">
            <w:pPr>
              <w:autoSpaceDE w:val="0"/>
              <w:autoSpaceDN w:val="0"/>
              <w:adjustRightInd w:val="0"/>
              <w:ind w:left="0" w:hanging="2"/>
              <w:jc w:val="center"/>
              <w:rPr>
                <w:rFonts w:asciiTheme="majorBidi" w:hAnsiTheme="majorBidi" w:cstheme="majorBidi"/>
                <w:b/>
                <w:bCs/>
                <w:color w:val="000000"/>
                <w:sz w:val="24"/>
                <w:szCs w:val="24"/>
              </w:rPr>
            </w:pPr>
            <w:r w:rsidRPr="00C53C6F">
              <w:rPr>
                <w:rFonts w:asciiTheme="majorBidi" w:hAnsiTheme="majorBidi" w:cstheme="majorBidi"/>
                <w:color w:val="000000"/>
                <w:sz w:val="24"/>
                <w:szCs w:val="24"/>
              </w:rPr>
              <w:t>Factors Influencing Projectile Trajectory</w:t>
            </w:r>
          </w:p>
          <w:p w14:paraId="73897624" w14:textId="491CB9D6"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p>
        </w:tc>
        <w:tc>
          <w:tcPr>
            <w:tcW w:w="1751" w:type="pct"/>
            <w:vAlign w:val="center"/>
          </w:tcPr>
          <w:p w14:paraId="7B862814" w14:textId="74F3D71F" w:rsidR="00483051" w:rsidRPr="00F0201E" w:rsidRDefault="00483051" w:rsidP="00483051">
            <w:pPr>
              <w:ind w:left="1" w:hanging="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cstheme="majorBidi"/>
                <w:sz w:val="28"/>
                <w:szCs w:val="28"/>
                <w:lang w:bidi="ar-IQ"/>
              </w:rPr>
              <w:t>Factors affecting the trajectory of projectiles</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64BC81C5" w14:textId="77777777"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19" w:type="pct"/>
            <w:vAlign w:val="center"/>
          </w:tcPr>
          <w:p w14:paraId="2ECB622C" w14:textId="0DCA64EE" w:rsidR="00483051" w:rsidRPr="000674C0" w:rsidRDefault="00483051" w:rsidP="00483051">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483051" w:rsidRPr="000674C0" w14:paraId="65E2CBE1" w14:textId="77777777" w:rsidTr="00483051">
        <w:trPr>
          <w:cnfStyle w:val="000000100000" w:firstRow="0" w:lastRow="0" w:firstColumn="0" w:lastColumn="0" w:oddVBand="0" w:evenVBand="0" w:oddHBand="1"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504" w:type="pct"/>
            <w:vAlign w:val="center"/>
          </w:tcPr>
          <w:p w14:paraId="53383B6C" w14:textId="4A23905C" w:rsidR="00483051" w:rsidRDefault="00483051" w:rsidP="00483051">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15</w:t>
            </w:r>
          </w:p>
        </w:tc>
        <w:tc>
          <w:tcPr>
            <w:tcW w:w="858" w:type="pct"/>
            <w:vAlign w:val="center"/>
          </w:tcPr>
          <w:p w14:paraId="2F4C8FD4" w14:textId="286A4D45" w:rsidR="00483051" w:rsidRPr="000674C0" w:rsidRDefault="00483051" w:rsidP="00483051">
            <w:pPr>
              <w:tabs>
                <w:tab w:val="left" w:pos="642"/>
              </w:tabs>
              <w:autoSpaceDE w:val="0"/>
              <w:autoSpaceDN w:val="0"/>
              <w:adjustRightIn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4</w:t>
            </w:r>
          </w:p>
        </w:tc>
        <w:tc>
          <w:tcPr>
            <w:cnfStyle w:val="000010000000" w:firstRow="0" w:lastRow="0" w:firstColumn="0" w:lastColumn="0" w:oddVBand="1" w:evenVBand="0" w:oddHBand="0" w:evenHBand="0" w:firstRowFirstColumn="0" w:firstRowLastColumn="0" w:lastRowFirstColumn="0" w:lastRowLastColumn="0"/>
            <w:tcW w:w="796" w:type="pct"/>
            <w:vAlign w:val="center"/>
          </w:tcPr>
          <w:p w14:paraId="27367994" w14:textId="78108289" w:rsidR="00483051" w:rsidRPr="00F0201E" w:rsidRDefault="00483051" w:rsidP="00483051">
            <w:pPr>
              <w:autoSpaceDE w:val="0"/>
              <w:autoSpaceDN w:val="0"/>
              <w:adjustRightInd w:val="0"/>
              <w:ind w:left="0" w:hanging="2"/>
              <w:jc w:val="center"/>
              <w:rPr>
                <w:rFonts w:asciiTheme="majorBidi" w:hAnsiTheme="majorBidi" w:cstheme="majorBidi"/>
                <w:color w:val="000000"/>
                <w:sz w:val="24"/>
                <w:szCs w:val="24"/>
                <w:lang w:bidi="ar-IQ"/>
              </w:rPr>
            </w:pPr>
            <w:r w:rsidRPr="00C53C6F">
              <w:rPr>
                <w:rFonts w:asciiTheme="majorBidi" w:hAnsiTheme="majorBidi" w:cstheme="majorBidi"/>
                <w:color w:val="000000"/>
                <w:sz w:val="24"/>
                <w:szCs w:val="24"/>
                <w:lang w:bidi="ar-IQ"/>
              </w:rPr>
              <w:t>Angular Kinematics of Human movement</w:t>
            </w:r>
          </w:p>
        </w:tc>
        <w:tc>
          <w:tcPr>
            <w:tcW w:w="1751" w:type="pct"/>
            <w:vAlign w:val="center"/>
          </w:tcPr>
          <w:p w14:paraId="6FE2FA21" w14:textId="4990ADA8" w:rsidR="00483051" w:rsidRPr="00F0201E" w:rsidRDefault="00483051" w:rsidP="00483051">
            <w:pPr>
              <w:ind w:left="1" w:hanging="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E70ED">
              <w:rPr>
                <w:rFonts w:asciiTheme="majorBidi" w:hAnsiTheme="majorBidi" w:cstheme="majorBidi"/>
                <w:sz w:val="28"/>
                <w:szCs w:val="28"/>
                <w:lang w:bidi="ar-IQ"/>
              </w:rPr>
              <w:t>Explain the relationships between the components of angular motion</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71A2BC3F" w14:textId="77777777" w:rsidR="00483051" w:rsidRPr="000674C0" w:rsidRDefault="00483051" w:rsidP="00483051">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19" w:type="pct"/>
            <w:vAlign w:val="center"/>
          </w:tcPr>
          <w:p w14:paraId="0B1CAB42" w14:textId="3A677829" w:rsidR="00483051" w:rsidRPr="000674C0" w:rsidRDefault="00483051" w:rsidP="00483051">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bl>
    <w:tbl>
      <w:tblPr>
        <w:tblStyle w:val="af0"/>
        <w:bidiVisual/>
        <w:tblW w:w="11456" w:type="dxa"/>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4"/>
        <w:gridCol w:w="9822"/>
      </w:tblGrid>
      <w:tr w:rsidR="0074133A" w14:paraId="67D241C7" w14:textId="77777777" w:rsidTr="001062DA">
        <w:tc>
          <w:tcPr>
            <w:tcW w:w="11456" w:type="dxa"/>
            <w:gridSpan w:val="2"/>
            <w:shd w:val="clear" w:color="auto" w:fill="DEEAF6"/>
          </w:tcPr>
          <w:p w14:paraId="0D50978A"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74133A" w14:paraId="0E03D9D1" w14:textId="77777777" w:rsidTr="001062DA">
        <w:tc>
          <w:tcPr>
            <w:tcW w:w="11456" w:type="dxa"/>
            <w:gridSpan w:val="2"/>
          </w:tcPr>
          <w:p w14:paraId="7CA70504" w14:textId="77777777" w:rsidR="001062DA" w:rsidRPr="0011523C" w:rsidRDefault="001062DA" w:rsidP="001062DA">
            <w:pPr>
              <w:pStyle w:val="ListParagraph"/>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امتحانات يومية بأسئلة عملية وعلمية . </w:t>
            </w:r>
          </w:p>
          <w:p w14:paraId="2E786590" w14:textId="77777777" w:rsidR="001062DA" w:rsidRPr="0011523C" w:rsidRDefault="001062DA" w:rsidP="001062DA">
            <w:pPr>
              <w:pStyle w:val="ListParagraph"/>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درجات مشاركة </w:t>
            </w:r>
            <w:r w:rsidRPr="0011523C">
              <w:rPr>
                <w:rFonts w:ascii="Cambria" w:hAnsi="Cambria" w:cs="Times New Roman" w:hint="cs"/>
                <w:color w:val="000000"/>
                <w:sz w:val="24"/>
                <w:szCs w:val="24"/>
                <w:rtl/>
                <w:lang w:bidi="ar-IQ"/>
              </w:rPr>
              <w:t>لأسئلة</w:t>
            </w:r>
            <w:r w:rsidRPr="0011523C">
              <w:rPr>
                <w:rFonts w:ascii="Cambria" w:hAnsi="Cambria" w:cs="Times New Roman"/>
                <w:color w:val="000000"/>
                <w:sz w:val="24"/>
                <w:szCs w:val="24"/>
                <w:rtl/>
                <w:lang w:bidi="ar-IQ"/>
              </w:rPr>
              <w:t xml:space="preserve"> المنافسة الصعبة بين الطلاب</w:t>
            </w:r>
            <w:r w:rsidRPr="0011523C">
              <w:rPr>
                <w:rFonts w:ascii="Cambria" w:hAnsi="Cambria" w:cs="Times New Roman" w:hint="cs"/>
                <w:color w:val="000000"/>
                <w:sz w:val="24"/>
                <w:szCs w:val="24"/>
                <w:rtl/>
                <w:lang w:bidi="ar-IQ"/>
              </w:rPr>
              <w:t>.</w:t>
            </w:r>
          </w:p>
          <w:p w14:paraId="5BDD0992" w14:textId="77777777" w:rsidR="001062DA" w:rsidRPr="0011523C" w:rsidRDefault="001062DA" w:rsidP="001062DA">
            <w:pPr>
              <w:pStyle w:val="ListParagraph"/>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وضع درجات للواجبات البيئية والتقارير المكلفة بهم.</w:t>
            </w:r>
          </w:p>
          <w:p w14:paraId="0832556D" w14:textId="4EEA1649" w:rsidR="00212A56" w:rsidRPr="0011523C" w:rsidRDefault="001062DA" w:rsidP="001062DA">
            <w:pPr>
              <w:pStyle w:val="ListParagraph"/>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4"/>
                <w:szCs w:val="24"/>
                <w:lang w:bidi="ar-IQ"/>
              </w:rPr>
            </w:pPr>
            <w:r w:rsidRPr="0011523C">
              <w:rPr>
                <w:rFonts w:ascii="Cambria" w:hAnsi="Cambria" w:cs="Times New Roman"/>
                <w:color w:val="000000"/>
                <w:sz w:val="24"/>
                <w:szCs w:val="24"/>
                <w:rtl/>
                <w:lang w:bidi="ar-IQ"/>
              </w:rPr>
              <w:t xml:space="preserve"> امتحانات فصلية للمنهج الدراسي اضافة الى امتحان نصف السنة والامتحان النهائي</w:t>
            </w:r>
            <w:r w:rsidRPr="0011523C">
              <w:rPr>
                <w:rFonts w:ascii="Cambria" w:hAnsi="Cambria" w:cs="Times New Roman" w:hint="cs"/>
                <w:color w:val="000000"/>
                <w:sz w:val="24"/>
                <w:szCs w:val="24"/>
                <w:rtl/>
                <w:lang w:bidi="ar-IQ"/>
              </w:rPr>
              <w:t>.</w:t>
            </w:r>
          </w:p>
        </w:tc>
      </w:tr>
      <w:tr w:rsidR="0074133A" w14:paraId="44349A85" w14:textId="77777777" w:rsidTr="001062DA">
        <w:tc>
          <w:tcPr>
            <w:tcW w:w="11456" w:type="dxa"/>
            <w:gridSpan w:val="2"/>
            <w:shd w:val="clear" w:color="auto" w:fill="DEEAF6"/>
          </w:tcPr>
          <w:p w14:paraId="44C7E8A3"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مصادر التعليم والتدريس</w:t>
            </w:r>
          </w:p>
        </w:tc>
      </w:tr>
      <w:tr w:rsidR="0074133A" w:rsidRPr="00BB1D3D" w14:paraId="23AC7296" w14:textId="77777777" w:rsidTr="001062DA">
        <w:tc>
          <w:tcPr>
            <w:tcW w:w="1634" w:type="dxa"/>
          </w:tcPr>
          <w:p w14:paraId="3118A9F9"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الكتب المقررة المطلوبة </w:t>
            </w:r>
          </w:p>
        </w:tc>
        <w:tc>
          <w:tcPr>
            <w:tcW w:w="9822" w:type="dxa"/>
          </w:tcPr>
          <w:p w14:paraId="5002388E" w14:textId="77777777" w:rsidR="00483051" w:rsidRPr="00483051" w:rsidRDefault="00483051" w:rsidP="00483051">
            <w:pPr>
              <w:suppressAutoHyphens w:val="0"/>
              <w:bidi w:val="0"/>
              <w:spacing w:after="160" w:line="259" w:lineRule="auto"/>
              <w:ind w:leftChars="0" w:left="1080" w:firstLineChars="0" w:firstLine="0"/>
              <w:jc w:val="left"/>
              <w:textDirection w:val="lrTb"/>
              <w:textAlignment w:val="auto"/>
              <w:outlineLvl w:val="9"/>
              <w:rPr>
                <w:rFonts w:asciiTheme="majorBidi" w:eastAsia="CIDFont+F7" w:hAnsiTheme="majorBidi" w:cstheme="majorBidi"/>
              </w:rPr>
            </w:pPr>
            <w:r w:rsidRPr="00483051">
              <w:rPr>
                <w:rFonts w:asciiTheme="majorBidi" w:eastAsia="CIDFont+F7" w:hAnsiTheme="majorBidi" w:cstheme="majorBidi"/>
              </w:rPr>
              <w:t>Basic biomechanics</w:t>
            </w:r>
          </w:p>
          <w:p w14:paraId="00408724" w14:textId="77777777" w:rsidR="00483051" w:rsidRPr="00483051" w:rsidRDefault="00483051" w:rsidP="00483051">
            <w:pPr>
              <w:suppressAutoHyphens w:val="0"/>
              <w:bidi w:val="0"/>
              <w:spacing w:after="160" w:line="259" w:lineRule="auto"/>
              <w:ind w:leftChars="0" w:left="1080" w:firstLineChars="0" w:firstLine="0"/>
              <w:jc w:val="left"/>
              <w:textDirection w:val="lrTb"/>
              <w:textAlignment w:val="auto"/>
              <w:outlineLvl w:val="9"/>
              <w:rPr>
                <w:rFonts w:asciiTheme="majorBidi" w:eastAsia="CIDFont+F7" w:hAnsiTheme="majorBidi" w:cstheme="majorBidi"/>
              </w:rPr>
            </w:pPr>
            <w:r w:rsidRPr="00483051">
              <w:rPr>
                <w:rFonts w:asciiTheme="majorBidi" w:eastAsia="CIDFont+F7" w:hAnsiTheme="majorBidi" w:cstheme="majorBidi"/>
              </w:rPr>
              <w:t>Susan J. Hall</w:t>
            </w:r>
          </w:p>
          <w:p w14:paraId="441CE5E6" w14:textId="344F687D" w:rsidR="0074133A" w:rsidRPr="00BB1D3D" w:rsidRDefault="00483051" w:rsidP="00483051">
            <w:pPr>
              <w:suppressAutoHyphens w:val="0"/>
              <w:bidi w:val="0"/>
              <w:spacing w:after="160" w:line="259" w:lineRule="auto"/>
              <w:ind w:leftChars="0" w:left="1080" w:firstLineChars="0" w:firstLine="0"/>
              <w:jc w:val="left"/>
              <w:textDirection w:val="lrTb"/>
              <w:textAlignment w:val="auto"/>
              <w:outlineLvl w:val="9"/>
              <w:rPr>
                <w:rFonts w:asciiTheme="majorBidi" w:eastAsia="CIDFont+F7" w:hAnsiTheme="majorBidi" w:cstheme="majorBidi"/>
              </w:rPr>
            </w:pPr>
            <w:r w:rsidRPr="00483051">
              <w:rPr>
                <w:rFonts w:asciiTheme="majorBidi" w:eastAsia="CIDFont+F7" w:hAnsiTheme="majorBidi" w:cstheme="majorBidi"/>
              </w:rPr>
              <w:t>Eighth edition</w:t>
            </w:r>
          </w:p>
        </w:tc>
      </w:tr>
      <w:tr w:rsidR="0074133A" w:rsidRPr="00BB1D3D" w14:paraId="2D2FB340" w14:textId="77777777" w:rsidTr="001062DA">
        <w:tc>
          <w:tcPr>
            <w:tcW w:w="1634" w:type="dxa"/>
          </w:tcPr>
          <w:p w14:paraId="29B4A9A7" w14:textId="77777777" w:rsidR="0074133A" w:rsidRDefault="0074133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المراجع الرئيسية</w:t>
            </w:r>
          </w:p>
        </w:tc>
        <w:tc>
          <w:tcPr>
            <w:tcW w:w="9822" w:type="dxa"/>
          </w:tcPr>
          <w:p w14:paraId="52F21104" w14:textId="77777777" w:rsidR="001062DA" w:rsidRDefault="001062DA" w:rsidP="001062DA">
            <w:pPr>
              <w:pStyle w:val="ListParagraph"/>
              <w:numPr>
                <w:ilvl w:val="3"/>
                <w:numId w:val="11"/>
              </w:numPr>
              <w:suppressAutoHyphens w:val="0"/>
              <w:autoSpaceDE w:val="0"/>
              <w:autoSpaceDN w:val="0"/>
              <w:adjustRightInd w:val="0"/>
              <w:ind w:leftChars="0" w:left="709" w:right="0" w:firstLineChars="0"/>
              <w:jc w:val="left"/>
              <w:textDirection w:val="lrTb"/>
              <w:textAlignment w:val="auto"/>
              <w:outlineLvl w:val="9"/>
              <w:rPr>
                <w:rFonts w:ascii="Cambria" w:hAnsi="Cambria"/>
                <w:color w:val="000000"/>
                <w:sz w:val="28"/>
                <w:szCs w:val="28"/>
                <w:lang w:bidi="ar-IQ"/>
              </w:rPr>
            </w:pPr>
            <w:r w:rsidRPr="004F7237">
              <w:rPr>
                <w:rFonts w:ascii="Cambria" w:hAnsi="Cambria"/>
                <w:color w:val="000000"/>
                <w:sz w:val="28"/>
                <w:szCs w:val="28"/>
                <w:rtl/>
                <w:lang w:bidi="ar-IQ"/>
              </w:rPr>
              <w:t>مكتبة الكلية للحصول على المصادر الاضافية للمناهج الدراسية.</w:t>
            </w:r>
          </w:p>
          <w:p w14:paraId="292FE34C" w14:textId="79549955" w:rsidR="0074133A" w:rsidRPr="001062DA" w:rsidRDefault="001062DA" w:rsidP="001062DA">
            <w:pPr>
              <w:pStyle w:val="ListParagraph"/>
              <w:numPr>
                <w:ilvl w:val="0"/>
                <w:numId w:val="11"/>
              </w:numPr>
              <w:suppressAutoHyphens w:val="0"/>
              <w:autoSpaceDE w:val="0"/>
              <w:autoSpaceDN w:val="0"/>
              <w:adjustRightInd w:val="0"/>
              <w:spacing w:after="0" w:line="240" w:lineRule="auto"/>
              <w:ind w:leftChars="0" w:right="0" w:firstLineChars="0"/>
              <w:jc w:val="left"/>
              <w:textDirection w:val="lrTb"/>
              <w:textAlignment w:val="auto"/>
              <w:outlineLvl w:val="9"/>
              <w:rPr>
                <w:rFonts w:asciiTheme="majorBidi" w:eastAsia="CIDFont+F7" w:hAnsiTheme="majorBidi" w:cstheme="majorBidi"/>
              </w:rPr>
            </w:pPr>
            <w:r w:rsidRPr="004F7237">
              <w:rPr>
                <w:rFonts w:ascii="Cambria" w:hAnsi="Cambria"/>
                <w:color w:val="000000"/>
                <w:sz w:val="28"/>
                <w:szCs w:val="28"/>
                <w:rtl/>
                <w:lang w:bidi="ar-IQ"/>
              </w:rPr>
              <w:t>الاطلاع على المواقع الالكترونية العلمية للاطلاع على المستجدات الحديثة في المادة</w:t>
            </w:r>
          </w:p>
        </w:tc>
      </w:tr>
      <w:tr w:rsidR="001062DA" w14:paraId="6719969A" w14:textId="77777777" w:rsidTr="00FB46BD">
        <w:tc>
          <w:tcPr>
            <w:tcW w:w="1634" w:type="dxa"/>
          </w:tcPr>
          <w:p w14:paraId="19FC7385" w14:textId="77777777" w:rsidR="001062DA" w:rsidRDefault="001062DA" w:rsidP="001062DA">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الكتب والمراجع الساندة التي يوصي بها</w:t>
            </w:r>
          </w:p>
        </w:tc>
        <w:tc>
          <w:tcPr>
            <w:tcW w:w="9822" w:type="dxa"/>
            <w:vAlign w:val="center"/>
          </w:tcPr>
          <w:p w14:paraId="04E883EC" w14:textId="3F752A3A" w:rsidR="001062DA" w:rsidRDefault="001062DA" w:rsidP="00483051">
            <w:pPr>
              <w:shd w:val="clear" w:color="auto" w:fill="FFFFFF"/>
              <w:bidi w:val="0"/>
              <w:ind w:left="1" w:right="-426" w:hanging="3"/>
              <w:jc w:val="center"/>
              <w:rPr>
                <w:rFonts w:ascii="Cambria" w:eastAsia="Cambria" w:hAnsi="Cambria" w:cs="Cambria"/>
                <w:sz w:val="28"/>
                <w:szCs w:val="28"/>
              </w:rPr>
            </w:pPr>
            <w:r w:rsidRPr="004F7237">
              <w:rPr>
                <w:rFonts w:ascii="Cambria" w:hAnsi="Cambria"/>
                <w:color w:val="000000"/>
                <w:sz w:val="28"/>
                <w:szCs w:val="28"/>
                <w:rtl/>
                <w:lang w:bidi="ar-IQ"/>
              </w:rPr>
              <w:t>جميع المجلات العلمية الرصينة التي لها علاقة ب</w:t>
            </w:r>
            <w:r w:rsidR="00483051">
              <w:rPr>
                <w:rFonts w:ascii="Cambria" w:hAnsi="Cambria" w:hint="cs"/>
                <w:color w:val="000000"/>
                <w:sz w:val="28"/>
                <w:szCs w:val="28"/>
                <w:rtl/>
                <w:lang w:bidi="ar-IQ"/>
              </w:rPr>
              <w:t>علم البايوميكانيك</w:t>
            </w:r>
          </w:p>
        </w:tc>
      </w:tr>
    </w:tbl>
    <w:p w14:paraId="4453A93D" w14:textId="42D7056A" w:rsidR="00A40107" w:rsidRDefault="00A40107" w:rsidP="0011523C">
      <w:pPr>
        <w:shd w:val="clear" w:color="auto" w:fill="FFFFFF"/>
        <w:spacing w:after="240"/>
        <w:ind w:leftChars="0" w:left="0" w:firstLineChars="0" w:firstLine="0"/>
        <w:jc w:val="left"/>
        <w:rPr>
          <w:sz w:val="24"/>
          <w:szCs w:val="24"/>
        </w:rPr>
      </w:pPr>
    </w:p>
    <w:sectPr w:rsidR="00A40107">
      <w:headerReference w:type="even" r:id="rId9"/>
      <w:headerReference w:type="default" r:id="rId10"/>
      <w:footerReference w:type="even" r:id="rId11"/>
      <w:footerReference w:type="default" r:id="rId12"/>
      <w:headerReference w:type="first" r:id="rId13"/>
      <w:footerReference w:type="first" r:id="rId1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E0E18" w14:textId="77777777" w:rsidR="00295815" w:rsidRDefault="00295815">
      <w:pPr>
        <w:spacing w:line="240" w:lineRule="auto"/>
        <w:ind w:left="0" w:hanging="2"/>
      </w:pPr>
      <w:r>
        <w:separator/>
      </w:r>
    </w:p>
  </w:endnote>
  <w:endnote w:type="continuationSeparator" w:id="0">
    <w:p w14:paraId="2C95AEDD" w14:textId="77777777" w:rsidR="00295815" w:rsidRDefault="002958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IDFont+F7">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4BA1BEAE"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5A1588">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7E97" w14:textId="77777777" w:rsidR="00295815" w:rsidRDefault="00295815">
      <w:pPr>
        <w:spacing w:line="240" w:lineRule="auto"/>
        <w:ind w:left="0" w:hanging="2"/>
      </w:pPr>
      <w:r>
        <w:separator/>
      </w:r>
    </w:p>
  </w:footnote>
  <w:footnote w:type="continuationSeparator" w:id="0">
    <w:p w14:paraId="00CDDC88" w14:textId="77777777" w:rsidR="00295815" w:rsidRDefault="0029581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C9C"/>
    <w:multiLevelType w:val="hybridMultilevel"/>
    <w:tmpl w:val="8446DF20"/>
    <w:lvl w:ilvl="0" w:tplc="A9BE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A4CE6"/>
    <w:multiLevelType w:val="hybridMultilevel"/>
    <w:tmpl w:val="83863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3A844D1"/>
    <w:multiLevelType w:val="hybridMultilevel"/>
    <w:tmpl w:val="16F63912"/>
    <w:lvl w:ilvl="0" w:tplc="C0F40938">
      <w:start w:val="1"/>
      <w:numFmt w:val="decimal"/>
      <w:lvlText w:val="%1-"/>
      <w:lvlJc w:val="left"/>
      <w:pPr>
        <w:ind w:left="1190" w:hanging="360"/>
      </w:pPr>
      <w:rPr>
        <w:rFonts w:cs="Times New Roman"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4">
    <w:nsid w:val="494F2558"/>
    <w:multiLevelType w:val="hybridMultilevel"/>
    <w:tmpl w:val="38B86D0A"/>
    <w:lvl w:ilvl="0" w:tplc="7C0E8360">
      <w:start w:val="1"/>
      <w:numFmt w:val="decimal"/>
      <w:lvlText w:val="%1."/>
      <w:lvlJc w:val="left"/>
      <w:pPr>
        <w:ind w:left="720" w:hanging="360"/>
      </w:pPr>
      <w:rPr>
        <w:rFonts w:asciiTheme="majorBidi" w:eastAsia="CIDFont+F7"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nsid w:val="6A1D2A64"/>
    <w:multiLevelType w:val="hybridMultilevel"/>
    <w:tmpl w:val="C7DE353E"/>
    <w:lvl w:ilvl="0" w:tplc="8F42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6B282436"/>
    <w:multiLevelType w:val="hybridMultilevel"/>
    <w:tmpl w:val="CC92B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4A2FAA"/>
    <w:multiLevelType w:val="hybridMultilevel"/>
    <w:tmpl w:val="94A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A27D9"/>
    <w:multiLevelType w:val="multilevel"/>
    <w:tmpl w:val="C3E84550"/>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Theme="majorBidi" w:eastAsia="CIDFont+F7" w:hAnsiTheme="majorBidi" w:cstheme="majorBidi"/>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8"/>
  </w:num>
  <w:num w:numId="3">
    <w:abstractNumId w:val="5"/>
  </w:num>
  <w:num w:numId="4">
    <w:abstractNumId w:val="2"/>
  </w:num>
  <w:num w:numId="5">
    <w:abstractNumId w:val="3"/>
  </w:num>
  <w:num w:numId="6">
    <w:abstractNumId w:val="0"/>
  </w:num>
  <w:num w:numId="7">
    <w:abstractNumId w:val="11"/>
  </w:num>
  <w:num w:numId="8">
    <w:abstractNumId w:val="4"/>
  </w:num>
  <w:num w:numId="9">
    <w:abstractNumId w:val="7"/>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07"/>
    <w:rsid w:val="000267DA"/>
    <w:rsid w:val="000457BB"/>
    <w:rsid w:val="00091CF4"/>
    <w:rsid w:val="001062DA"/>
    <w:rsid w:val="0011523C"/>
    <w:rsid w:val="00212A56"/>
    <w:rsid w:val="00213E09"/>
    <w:rsid w:val="00295815"/>
    <w:rsid w:val="0031416B"/>
    <w:rsid w:val="00354E04"/>
    <w:rsid w:val="00357BD7"/>
    <w:rsid w:val="003D4F3A"/>
    <w:rsid w:val="00402535"/>
    <w:rsid w:val="0046592C"/>
    <w:rsid w:val="00483051"/>
    <w:rsid w:val="004C586A"/>
    <w:rsid w:val="005A1588"/>
    <w:rsid w:val="00651AA1"/>
    <w:rsid w:val="0074133A"/>
    <w:rsid w:val="00765852"/>
    <w:rsid w:val="007D1393"/>
    <w:rsid w:val="0083383E"/>
    <w:rsid w:val="00A00F02"/>
    <w:rsid w:val="00A40107"/>
    <w:rsid w:val="00AD7D32"/>
    <w:rsid w:val="00B35157"/>
    <w:rsid w:val="00BB1D3D"/>
    <w:rsid w:val="00D15819"/>
    <w:rsid w:val="00D202F3"/>
    <w:rsid w:val="00D65E66"/>
    <w:rsid w:val="00E615EC"/>
    <w:rsid w:val="00E83518"/>
    <w:rsid w:val="00E87F21"/>
    <w:rsid w:val="00F020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uiPriority w:val="1"/>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ListTable3Accent5">
    <w:name w:val="List Table 3 Accent 5"/>
    <w:basedOn w:val="TableNormal"/>
    <w:uiPriority w:val="46"/>
    <w:rsid w:val="0074133A"/>
    <w:pPr>
      <w:bidi w:val="0"/>
    </w:pPr>
    <w:rPr>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DefaultParagraphFont"/>
    <w:uiPriority w:val="99"/>
    <w:unhideWhenUsed/>
    <w:rsid w:val="00E83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uiPriority w:val="1"/>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ListTable3Accent5">
    <w:name w:val="List Table 3 Accent 5"/>
    <w:basedOn w:val="TableNormal"/>
    <w:uiPriority w:val="46"/>
    <w:rsid w:val="0074133A"/>
    <w:pPr>
      <w:bidi w:val="0"/>
    </w:pPr>
    <w:rPr>
      <w:lang w:eastAsia="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DefaultParagraphFont"/>
    <w:uiPriority w:val="99"/>
    <w:unhideWhenUsed/>
    <w:rsid w:val="00E83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iraq falcon</cp:lastModifiedBy>
  <cp:revision>3</cp:revision>
  <cp:lastPrinted>2024-09-28T08:33:00Z</cp:lastPrinted>
  <dcterms:created xsi:type="dcterms:W3CDTF">2024-09-23T09:08:00Z</dcterms:created>
  <dcterms:modified xsi:type="dcterms:W3CDTF">2024-09-28T08:36:00Z</dcterms:modified>
</cp:coreProperties>
</file>